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8" w:type="dxa"/>
        <w:tblLayout w:type="fixed"/>
        <w:tblLook w:val="0000" w:firstRow="0" w:lastRow="0" w:firstColumn="0" w:lastColumn="0" w:noHBand="0" w:noVBand="0"/>
      </w:tblPr>
      <w:tblGrid>
        <w:gridCol w:w="2790"/>
        <w:gridCol w:w="3780"/>
        <w:gridCol w:w="2790"/>
      </w:tblGrid>
      <w:tr w:rsidR="00B052B6" w:rsidRPr="002C5DA9" w:rsidTr="002C5DA9">
        <w:trPr>
          <w:trHeight w:val="1080"/>
        </w:trPr>
        <w:tc>
          <w:tcPr>
            <w:tcW w:w="6570" w:type="dxa"/>
            <w:gridSpan w:val="2"/>
            <w:tcBorders>
              <w:bottom w:val="dashDotStroked" w:sz="24" w:space="0" w:color="auto"/>
            </w:tcBorders>
          </w:tcPr>
          <w:p w:rsidR="00B052B6" w:rsidRDefault="00B052B6" w:rsidP="001653B7">
            <w:pPr>
              <w:pStyle w:val="Heading1"/>
              <w:tabs>
                <w:tab w:val="right" w:pos="9162"/>
              </w:tabs>
            </w:pPr>
            <w:r>
              <w:t>Teacher Standards and Practices Commission</w:t>
            </w:r>
          </w:p>
          <w:p w:rsidR="00B052B6" w:rsidRDefault="00A37796" w:rsidP="001653B7">
            <w:pPr>
              <w:pStyle w:val="Heading1"/>
            </w:pPr>
            <w:r>
              <w:t>250 Division Street NE</w:t>
            </w:r>
          </w:p>
          <w:p w:rsidR="00B052B6" w:rsidRDefault="00B052B6" w:rsidP="001653B7">
            <w:pPr>
              <w:pStyle w:val="Heading1"/>
              <w:rPr>
                <w:b/>
              </w:rPr>
            </w:pPr>
            <w:smartTag w:uri="urn:schemas-microsoft-com:office:smarttags" w:element="place">
              <w:smartTag w:uri="urn:schemas-microsoft-com:office:smarttags" w:element="City">
                <w:r>
                  <w:t>Salem</w:t>
                </w:r>
              </w:smartTag>
              <w:r>
                <w:t xml:space="preserve"> </w:t>
              </w:r>
              <w:smartTag w:uri="urn:schemas-microsoft-com:office:smarttags" w:element="State">
                <w:r>
                  <w:t>OR</w:t>
                </w:r>
              </w:smartTag>
              <w:r>
                <w:t xml:space="preserve">  </w:t>
              </w:r>
              <w:smartTag w:uri="urn:schemas-microsoft-com:office:smarttags" w:element="PostalCode">
                <w:r>
                  <w:t>97301</w:t>
                </w:r>
              </w:smartTag>
            </w:smartTag>
          </w:p>
          <w:p w:rsidR="00B052B6" w:rsidRDefault="00B052B6" w:rsidP="001653B7">
            <w:pPr>
              <w:rPr>
                <w:b/>
              </w:rPr>
            </w:pPr>
          </w:p>
        </w:tc>
        <w:tc>
          <w:tcPr>
            <w:tcW w:w="2790" w:type="dxa"/>
            <w:tcBorders>
              <w:bottom w:val="dashDotStroked" w:sz="24" w:space="0" w:color="auto"/>
            </w:tcBorders>
          </w:tcPr>
          <w:p w:rsidR="001B3E64" w:rsidRDefault="002322FF" w:rsidP="002C5DA9">
            <w:pPr>
              <w:pStyle w:val="Style1"/>
            </w:pPr>
            <w:r>
              <w:t>January 29-30, 2015</w:t>
            </w:r>
          </w:p>
          <w:p w:rsidR="002D489A" w:rsidRPr="006A5EB6" w:rsidRDefault="006A15B3" w:rsidP="002C5DA9">
            <w:pPr>
              <w:pStyle w:val="Style1"/>
            </w:pPr>
            <w:r w:rsidRPr="006A5EB6">
              <w:t>Program Approval</w:t>
            </w:r>
          </w:p>
        </w:tc>
      </w:tr>
      <w:tr w:rsidR="00B052B6" w:rsidRPr="00412278" w:rsidTr="001653B7">
        <w:tc>
          <w:tcPr>
            <w:tcW w:w="2790" w:type="dxa"/>
            <w:tcBorders>
              <w:top w:val="dashDotStroked" w:sz="24" w:space="0" w:color="auto"/>
            </w:tcBorders>
          </w:tcPr>
          <w:p w:rsidR="00B052B6" w:rsidRPr="00412278" w:rsidRDefault="00B052B6" w:rsidP="001653B7">
            <w:pPr>
              <w:tabs>
                <w:tab w:val="left" w:pos="2610"/>
              </w:tabs>
              <w:rPr>
                <w:sz w:val="24"/>
                <w:szCs w:val="24"/>
              </w:rPr>
            </w:pPr>
          </w:p>
          <w:p w:rsidR="00B052B6" w:rsidRPr="00412278" w:rsidRDefault="00B052B6" w:rsidP="001653B7">
            <w:pPr>
              <w:tabs>
                <w:tab w:val="left" w:pos="2610"/>
              </w:tabs>
              <w:rPr>
                <w:sz w:val="24"/>
                <w:szCs w:val="24"/>
              </w:rPr>
            </w:pPr>
            <w:r w:rsidRPr="00412278">
              <w:rPr>
                <w:sz w:val="24"/>
                <w:szCs w:val="24"/>
              </w:rPr>
              <w:t>ITEM:</w:t>
            </w:r>
          </w:p>
          <w:p w:rsidR="00B052B6" w:rsidRPr="00412278" w:rsidRDefault="00B052B6" w:rsidP="001653B7">
            <w:pPr>
              <w:tabs>
                <w:tab w:val="left" w:pos="2610"/>
              </w:tabs>
              <w:rPr>
                <w:sz w:val="24"/>
                <w:szCs w:val="24"/>
              </w:rPr>
            </w:pPr>
          </w:p>
        </w:tc>
        <w:tc>
          <w:tcPr>
            <w:tcW w:w="6570" w:type="dxa"/>
            <w:gridSpan w:val="2"/>
            <w:tcBorders>
              <w:top w:val="dashDotStroked" w:sz="24" w:space="0" w:color="auto"/>
            </w:tcBorders>
          </w:tcPr>
          <w:p w:rsidR="00B052B6" w:rsidRPr="00412278" w:rsidRDefault="00B052B6" w:rsidP="001653B7">
            <w:pPr>
              <w:rPr>
                <w:sz w:val="24"/>
                <w:szCs w:val="24"/>
              </w:rPr>
            </w:pPr>
          </w:p>
          <w:p w:rsidR="002D489A" w:rsidRDefault="006A15B3" w:rsidP="002322FF">
            <w:pPr>
              <w:rPr>
                <w:caps/>
                <w:sz w:val="24"/>
                <w:szCs w:val="24"/>
              </w:rPr>
            </w:pPr>
            <w:r w:rsidRPr="006A15B3">
              <w:rPr>
                <w:caps/>
                <w:sz w:val="24"/>
                <w:szCs w:val="24"/>
              </w:rPr>
              <w:t>Kaplan University Approval of Preconditions for First-Time Unit and Programs</w:t>
            </w:r>
          </w:p>
          <w:p w:rsidR="006A15B3" w:rsidRPr="006A15B3" w:rsidRDefault="006A15B3" w:rsidP="002322FF">
            <w:pPr>
              <w:rPr>
                <w:caps/>
                <w:sz w:val="24"/>
                <w:szCs w:val="24"/>
              </w:rPr>
            </w:pPr>
          </w:p>
        </w:tc>
      </w:tr>
      <w:tr w:rsidR="00B052B6" w:rsidRPr="00412278" w:rsidTr="001653B7">
        <w:tc>
          <w:tcPr>
            <w:tcW w:w="2790" w:type="dxa"/>
          </w:tcPr>
          <w:p w:rsidR="00B052B6" w:rsidRPr="00412278" w:rsidRDefault="00B052B6" w:rsidP="001653B7">
            <w:pPr>
              <w:tabs>
                <w:tab w:val="left" w:pos="2610"/>
              </w:tabs>
              <w:rPr>
                <w:sz w:val="24"/>
                <w:szCs w:val="24"/>
              </w:rPr>
            </w:pPr>
            <w:r w:rsidRPr="00412278">
              <w:rPr>
                <w:sz w:val="24"/>
                <w:szCs w:val="24"/>
              </w:rPr>
              <w:t>ACTION:</w:t>
            </w:r>
          </w:p>
          <w:p w:rsidR="00B052B6" w:rsidRPr="00412278" w:rsidRDefault="00B052B6" w:rsidP="001653B7">
            <w:pPr>
              <w:tabs>
                <w:tab w:val="left" w:pos="2610"/>
              </w:tabs>
              <w:rPr>
                <w:sz w:val="24"/>
                <w:szCs w:val="24"/>
              </w:rPr>
            </w:pPr>
          </w:p>
        </w:tc>
        <w:tc>
          <w:tcPr>
            <w:tcW w:w="6570" w:type="dxa"/>
            <w:gridSpan w:val="2"/>
          </w:tcPr>
          <w:p w:rsidR="00B052B6" w:rsidRPr="006A15B3" w:rsidRDefault="006A15B3" w:rsidP="001653B7">
            <w:pPr>
              <w:tabs>
                <w:tab w:val="left" w:pos="2610"/>
              </w:tabs>
              <w:rPr>
                <w:sz w:val="24"/>
                <w:szCs w:val="24"/>
              </w:rPr>
            </w:pPr>
            <w:r>
              <w:rPr>
                <w:sz w:val="24"/>
                <w:szCs w:val="24"/>
              </w:rPr>
              <w:t>ACTION ITEM</w:t>
            </w:r>
          </w:p>
        </w:tc>
      </w:tr>
      <w:tr w:rsidR="00B052B6" w:rsidRPr="00412278" w:rsidTr="001653B7">
        <w:tc>
          <w:tcPr>
            <w:tcW w:w="2790" w:type="dxa"/>
          </w:tcPr>
          <w:p w:rsidR="006A15B3" w:rsidRDefault="006A15B3" w:rsidP="001653B7">
            <w:pPr>
              <w:tabs>
                <w:tab w:val="left" w:pos="2610"/>
              </w:tabs>
              <w:rPr>
                <w:sz w:val="24"/>
                <w:szCs w:val="24"/>
              </w:rPr>
            </w:pPr>
            <w:r>
              <w:rPr>
                <w:sz w:val="24"/>
                <w:szCs w:val="24"/>
              </w:rPr>
              <w:t>RECOMMENDATION:</w:t>
            </w: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6A15B3" w:rsidRDefault="006A15B3" w:rsidP="001653B7">
            <w:pPr>
              <w:tabs>
                <w:tab w:val="left" w:pos="2610"/>
              </w:tabs>
              <w:rPr>
                <w:sz w:val="24"/>
                <w:szCs w:val="24"/>
              </w:rPr>
            </w:pPr>
          </w:p>
          <w:p w:rsidR="00B052B6" w:rsidRPr="00412278" w:rsidRDefault="00B052B6" w:rsidP="001653B7">
            <w:pPr>
              <w:tabs>
                <w:tab w:val="left" w:pos="2610"/>
              </w:tabs>
              <w:rPr>
                <w:sz w:val="24"/>
                <w:szCs w:val="24"/>
              </w:rPr>
            </w:pPr>
            <w:r w:rsidRPr="00412278">
              <w:rPr>
                <w:sz w:val="24"/>
                <w:szCs w:val="24"/>
              </w:rPr>
              <w:t>INFORMATION:</w:t>
            </w:r>
          </w:p>
          <w:p w:rsidR="00B052B6" w:rsidRPr="00412278" w:rsidRDefault="00B052B6" w:rsidP="001653B7">
            <w:pPr>
              <w:tabs>
                <w:tab w:val="left" w:pos="2610"/>
              </w:tabs>
              <w:rPr>
                <w:sz w:val="24"/>
                <w:szCs w:val="24"/>
              </w:rPr>
            </w:pPr>
          </w:p>
        </w:tc>
        <w:tc>
          <w:tcPr>
            <w:tcW w:w="6570" w:type="dxa"/>
            <w:gridSpan w:val="2"/>
          </w:tcPr>
          <w:p w:rsidR="00136A4F" w:rsidRDefault="006A15B3" w:rsidP="00126337">
            <w:pPr>
              <w:tabs>
                <w:tab w:val="left" w:pos="-18"/>
              </w:tabs>
              <w:ind w:left="-18" w:firstLine="18"/>
              <w:rPr>
                <w:sz w:val="24"/>
                <w:szCs w:val="24"/>
              </w:rPr>
            </w:pPr>
            <w:r>
              <w:rPr>
                <w:sz w:val="24"/>
                <w:szCs w:val="24"/>
              </w:rPr>
              <w:t>The Program Approval Committee recommends adoption of the following resolution:</w:t>
            </w:r>
          </w:p>
          <w:p w:rsidR="006A15B3" w:rsidRDefault="006A15B3" w:rsidP="00126337">
            <w:pPr>
              <w:tabs>
                <w:tab w:val="left" w:pos="-18"/>
              </w:tabs>
              <w:ind w:left="-18" w:firstLine="18"/>
              <w:rPr>
                <w:sz w:val="24"/>
                <w:szCs w:val="24"/>
              </w:rPr>
            </w:pPr>
          </w:p>
          <w:p w:rsidR="006A15B3" w:rsidRDefault="002339A6" w:rsidP="00126337">
            <w:pPr>
              <w:tabs>
                <w:tab w:val="left" w:pos="-18"/>
              </w:tabs>
              <w:ind w:left="-18" w:firstLine="18"/>
              <w:rPr>
                <w:sz w:val="24"/>
                <w:szCs w:val="24"/>
              </w:rPr>
            </w:pPr>
            <w:r>
              <w:rPr>
                <w:b/>
                <w:sz w:val="24"/>
                <w:szCs w:val="24"/>
              </w:rPr>
              <w:t>RESOLVED</w:t>
            </w:r>
            <w:r w:rsidR="006A15B3">
              <w:rPr>
                <w:b/>
                <w:sz w:val="24"/>
                <w:szCs w:val="24"/>
              </w:rPr>
              <w:t xml:space="preserve"> that, </w:t>
            </w:r>
            <w:r w:rsidR="006A15B3">
              <w:rPr>
                <w:sz w:val="24"/>
                <w:szCs w:val="24"/>
              </w:rPr>
              <w:t>the Commission accept</w:t>
            </w:r>
            <w:r w:rsidR="00F51DB1">
              <w:rPr>
                <w:sz w:val="24"/>
                <w:szCs w:val="24"/>
              </w:rPr>
              <w:t>s</w:t>
            </w:r>
            <w:r w:rsidR="006A15B3">
              <w:rPr>
                <w:sz w:val="24"/>
                <w:szCs w:val="24"/>
              </w:rPr>
              <w:t xml:space="preserve"> and approve</w:t>
            </w:r>
            <w:r w:rsidR="00F51DB1">
              <w:rPr>
                <w:sz w:val="24"/>
                <w:szCs w:val="24"/>
              </w:rPr>
              <w:t>s</w:t>
            </w:r>
            <w:r w:rsidR="006A15B3">
              <w:rPr>
                <w:sz w:val="24"/>
                <w:szCs w:val="24"/>
              </w:rPr>
              <w:t xml:space="preserve"> the pre-condition evidence </w:t>
            </w:r>
            <w:r w:rsidR="00372AAB">
              <w:rPr>
                <w:sz w:val="24"/>
                <w:szCs w:val="24"/>
              </w:rPr>
              <w:t xml:space="preserve">provided by Kaplan University </w:t>
            </w:r>
            <w:r w:rsidR="00F51DB1">
              <w:rPr>
                <w:sz w:val="24"/>
                <w:szCs w:val="24"/>
              </w:rPr>
              <w:t xml:space="preserve">and determines the evidence has met the requirements of </w:t>
            </w:r>
            <w:r w:rsidR="00372AAB">
              <w:rPr>
                <w:sz w:val="24"/>
                <w:szCs w:val="24"/>
              </w:rPr>
              <w:t>OAR 584-010-0015</w:t>
            </w:r>
            <w:r w:rsidR="006A15B3">
              <w:rPr>
                <w:sz w:val="24"/>
                <w:szCs w:val="24"/>
              </w:rPr>
              <w:t xml:space="preserve">; </w:t>
            </w:r>
          </w:p>
          <w:p w:rsidR="006A15B3" w:rsidRDefault="006A15B3" w:rsidP="00126337">
            <w:pPr>
              <w:tabs>
                <w:tab w:val="left" w:pos="-18"/>
              </w:tabs>
              <w:ind w:left="-18" w:firstLine="18"/>
              <w:rPr>
                <w:sz w:val="24"/>
                <w:szCs w:val="24"/>
              </w:rPr>
            </w:pPr>
          </w:p>
          <w:p w:rsidR="006A15B3" w:rsidRPr="006A15B3" w:rsidRDefault="006A15B3" w:rsidP="00126337">
            <w:pPr>
              <w:tabs>
                <w:tab w:val="left" w:pos="-18"/>
              </w:tabs>
              <w:ind w:left="-18" w:firstLine="18"/>
              <w:rPr>
                <w:sz w:val="24"/>
                <w:szCs w:val="24"/>
              </w:rPr>
            </w:pPr>
            <w:r>
              <w:rPr>
                <w:b/>
                <w:sz w:val="24"/>
                <w:szCs w:val="24"/>
              </w:rPr>
              <w:t>RESOLVED FURTHER</w:t>
            </w:r>
            <w:bookmarkStart w:id="0" w:name="_GoBack"/>
            <w:bookmarkEnd w:id="0"/>
            <w:r>
              <w:rPr>
                <w:b/>
                <w:sz w:val="24"/>
                <w:szCs w:val="24"/>
              </w:rPr>
              <w:t xml:space="preserve"> that, </w:t>
            </w:r>
            <w:r>
              <w:rPr>
                <w:sz w:val="24"/>
                <w:szCs w:val="24"/>
              </w:rPr>
              <w:t xml:space="preserve">Kaplan University is </w:t>
            </w:r>
            <w:r w:rsidR="00372AAB">
              <w:rPr>
                <w:sz w:val="24"/>
                <w:szCs w:val="24"/>
              </w:rPr>
              <w:t xml:space="preserve">eligible </w:t>
            </w:r>
            <w:r>
              <w:rPr>
                <w:sz w:val="24"/>
                <w:szCs w:val="24"/>
              </w:rPr>
              <w:t xml:space="preserve">to </w:t>
            </w:r>
            <w:r w:rsidR="00372AAB">
              <w:rPr>
                <w:sz w:val="24"/>
                <w:szCs w:val="24"/>
              </w:rPr>
              <w:t>apply for approval</w:t>
            </w:r>
            <w:r>
              <w:rPr>
                <w:sz w:val="24"/>
                <w:szCs w:val="24"/>
              </w:rPr>
              <w:t xml:space="preserve"> </w:t>
            </w:r>
            <w:r w:rsidR="00372AAB">
              <w:rPr>
                <w:sz w:val="24"/>
                <w:szCs w:val="24"/>
              </w:rPr>
              <w:t>to deliver a licensure program.</w:t>
            </w:r>
          </w:p>
          <w:p w:rsidR="006A15B3" w:rsidRDefault="006A15B3" w:rsidP="00126337">
            <w:pPr>
              <w:tabs>
                <w:tab w:val="left" w:pos="-18"/>
              </w:tabs>
              <w:ind w:left="-18" w:firstLine="18"/>
              <w:rPr>
                <w:sz w:val="24"/>
                <w:szCs w:val="24"/>
              </w:rPr>
            </w:pPr>
          </w:p>
          <w:p w:rsidR="006A15B3" w:rsidRPr="00412278" w:rsidRDefault="006A15B3" w:rsidP="00126337">
            <w:pPr>
              <w:tabs>
                <w:tab w:val="left" w:pos="-18"/>
              </w:tabs>
              <w:ind w:left="-18" w:firstLine="18"/>
              <w:rPr>
                <w:sz w:val="24"/>
                <w:szCs w:val="24"/>
              </w:rPr>
            </w:pPr>
            <w:r>
              <w:rPr>
                <w:sz w:val="24"/>
                <w:szCs w:val="24"/>
              </w:rPr>
              <w:t xml:space="preserve">Kaplan University is seeking approval by the </w:t>
            </w:r>
            <w:r w:rsidR="00C969BE">
              <w:rPr>
                <w:sz w:val="24"/>
                <w:szCs w:val="24"/>
              </w:rPr>
              <w:t>C</w:t>
            </w:r>
            <w:r>
              <w:rPr>
                <w:sz w:val="24"/>
                <w:szCs w:val="24"/>
              </w:rPr>
              <w:t xml:space="preserve">ommission to provide education preparation programs in Oregon. The first step in the </w:t>
            </w:r>
            <w:r w:rsidR="00372AAB">
              <w:rPr>
                <w:sz w:val="24"/>
                <w:szCs w:val="24"/>
              </w:rPr>
              <w:t xml:space="preserve">process is for Kaplan University to submit evidence that satisfies the preconditions set for in OAR 584-010-0015 (rule listed below).  The evidence demonstrating compliance with the preconditions set forth in OAR are located in the secure website. </w:t>
            </w:r>
          </w:p>
        </w:tc>
      </w:tr>
    </w:tbl>
    <w:p w:rsidR="002D489A" w:rsidRPr="002D489A" w:rsidRDefault="002D489A" w:rsidP="002D489A">
      <w:pPr>
        <w:rPr>
          <w:sz w:val="24"/>
          <w:szCs w:val="24"/>
        </w:rPr>
      </w:pPr>
    </w:p>
    <w:p w:rsidR="002D489A" w:rsidRDefault="00191B4B" w:rsidP="002D489A">
      <w:pPr>
        <w:rPr>
          <w:sz w:val="24"/>
          <w:szCs w:val="24"/>
        </w:rPr>
      </w:pPr>
      <w:r>
        <w:rPr>
          <w:sz w:val="24"/>
          <w:szCs w:val="24"/>
        </w:rPr>
        <w:t xml:space="preserve">Kaplan University is seeking to be approved for </w:t>
      </w:r>
      <w:r w:rsidR="00C969BE">
        <w:rPr>
          <w:sz w:val="24"/>
          <w:szCs w:val="24"/>
        </w:rPr>
        <w:t>i</w:t>
      </w:r>
      <w:r>
        <w:rPr>
          <w:sz w:val="24"/>
          <w:szCs w:val="24"/>
        </w:rPr>
        <w:t xml:space="preserve">nitial </w:t>
      </w:r>
      <w:r w:rsidR="00C969BE">
        <w:rPr>
          <w:sz w:val="24"/>
          <w:szCs w:val="24"/>
        </w:rPr>
        <w:t xml:space="preserve">teacher </w:t>
      </w:r>
      <w:r>
        <w:rPr>
          <w:sz w:val="24"/>
          <w:szCs w:val="24"/>
        </w:rPr>
        <w:t xml:space="preserve">licensure programs </w:t>
      </w:r>
      <w:r w:rsidR="00F84689">
        <w:rPr>
          <w:sz w:val="24"/>
          <w:szCs w:val="24"/>
        </w:rPr>
        <w:t>for middle and high levels with the single subject endorsements of: Biology, Chemistry, Physics, English and Math</w:t>
      </w:r>
      <w:r w:rsidR="00C969BE">
        <w:rPr>
          <w:sz w:val="24"/>
          <w:szCs w:val="24"/>
        </w:rPr>
        <w:t xml:space="preserve"> – all STEM areas</w:t>
      </w:r>
      <w:r w:rsidR="00F84689">
        <w:rPr>
          <w:sz w:val="24"/>
          <w:szCs w:val="24"/>
        </w:rPr>
        <w:t xml:space="preserve">. </w:t>
      </w:r>
    </w:p>
    <w:p w:rsidR="00191B4B" w:rsidRPr="002D489A" w:rsidRDefault="00191B4B" w:rsidP="002D489A">
      <w:pPr>
        <w:rPr>
          <w:sz w:val="24"/>
          <w:szCs w:val="24"/>
        </w:rPr>
      </w:pPr>
    </w:p>
    <w:p w:rsidR="006A15B3" w:rsidRDefault="009B5121" w:rsidP="006A15B3">
      <w:pPr>
        <w:rPr>
          <w:b/>
          <w:sz w:val="24"/>
          <w:szCs w:val="24"/>
        </w:rPr>
      </w:pPr>
      <w:r>
        <w:rPr>
          <w:b/>
          <w:sz w:val="24"/>
          <w:szCs w:val="24"/>
        </w:rPr>
        <w:t xml:space="preserve">584-010-0015 – </w:t>
      </w:r>
      <w:r w:rsidR="006A15B3" w:rsidRPr="006A15B3">
        <w:rPr>
          <w:b/>
          <w:sz w:val="24"/>
          <w:szCs w:val="24"/>
        </w:rPr>
        <w:t xml:space="preserve">Preconditions for First-Time Unit or Program Approval </w:t>
      </w:r>
    </w:p>
    <w:p w:rsidR="00C969BE" w:rsidRPr="006A15B3" w:rsidRDefault="00C969BE" w:rsidP="006A15B3">
      <w:pPr>
        <w:rPr>
          <w:b/>
          <w:sz w:val="24"/>
          <w:szCs w:val="24"/>
        </w:rPr>
      </w:pPr>
    </w:p>
    <w:p w:rsidR="006A15B3" w:rsidRDefault="006A15B3" w:rsidP="006A15B3">
      <w:pPr>
        <w:rPr>
          <w:sz w:val="24"/>
          <w:szCs w:val="24"/>
        </w:rPr>
      </w:pPr>
      <w:r w:rsidRPr="006A15B3">
        <w:rPr>
          <w:sz w:val="24"/>
          <w:szCs w:val="24"/>
        </w:rPr>
        <w:t>(1) Prior to approval for any licensure program, a unit must satisfy the preconditions set forth below. Once the Commission has reviewed these preconditions, the Commission shall determine by resolution in a public meeting whether the preconditions have been met and whether the unit is eligible to apply for approval to deliver a licensure program in teaching, administration, school counseling, school psychology or school social work.</w:t>
      </w:r>
    </w:p>
    <w:p w:rsidR="00C969BE" w:rsidRPr="006A15B3" w:rsidRDefault="00C969BE" w:rsidP="006A15B3">
      <w:pPr>
        <w:rPr>
          <w:sz w:val="24"/>
          <w:szCs w:val="24"/>
        </w:rPr>
      </w:pPr>
    </w:p>
    <w:p w:rsidR="006A15B3" w:rsidRPr="006A15B3" w:rsidRDefault="006A15B3" w:rsidP="006A15B3">
      <w:pPr>
        <w:rPr>
          <w:sz w:val="24"/>
          <w:szCs w:val="24"/>
        </w:rPr>
      </w:pPr>
      <w:r w:rsidRPr="006A15B3">
        <w:rPr>
          <w:sz w:val="24"/>
          <w:szCs w:val="24"/>
        </w:rPr>
        <w:t xml:space="preserve">(2) Programs from units or institutions that have never been approved by the Commission must satisfy the following preconditions prior to submitting a proposal for approval to deliver a licensure program: </w:t>
      </w:r>
    </w:p>
    <w:p w:rsidR="006A15B3" w:rsidRPr="006A15B3" w:rsidRDefault="006A15B3" w:rsidP="009B5121">
      <w:pPr>
        <w:ind w:left="360"/>
        <w:rPr>
          <w:sz w:val="24"/>
          <w:szCs w:val="24"/>
        </w:rPr>
      </w:pPr>
      <w:r w:rsidRPr="006A15B3">
        <w:rPr>
          <w:sz w:val="24"/>
          <w:szCs w:val="24"/>
        </w:rPr>
        <w:lastRenderedPageBreak/>
        <w:t xml:space="preserve">(a) A college or university seeking unit recognition for program approval must obtain full regional accreditation from the Northwest Commission on Colleges and Universities or another appropriate institutional regional accrediting agency recognized by the U.S. Department of Education; </w:t>
      </w:r>
    </w:p>
    <w:p w:rsidR="006A15B3" w:rsidRPr="006A15B3" w:rsidRDefault="006A15B3" w:rsidP="009B5121">
      <w:pPr>
        <w:ind w:left="360"/>
        <w:rPr>
          <w:sz w:val="24"/>
          <w:szCs w:val="24"/>
        </w:rPr>
      </w:pPr>
      <w:r w:rsidRPr="006A15B3">
        <w:rPr>
          <w:sz w:val="24"/>
          <w:szCs w:val="24"/>
        </w:rPr>
        <w:t xml:space="preserve">(b) Approval by the Oregon Office of Degree Authorization or its equivalent authorizing body, and if an Oregon public institution, by the Oregon State Board of Higher Education or its equivalent authorizing body; </w:t>
      </w:r>
    </w:p>
    <w:p w:rsidR="006A15B3" w:rsidRPr="006A15B3" w:rsidRDefault="006A15B3" w:rsidP="009B5121">
      <w:pPr>
        <w:ind w:left="360"/>
        <w:rPr>
          <w:sz w:val="24"/>
          <w:szCs w:val="24"/>
        </w:rPr>
      </w:pPr>
      <w:r w:rsidRPr="006A15B3">
        <w:rPr>
          <w:sz w:val="24"/>
          <w:szCs w:val="24"/>
        </w:rPr>
        <w:t xml:space="preserve">(c) A letter from the institution's administrative body recognizing and identifying the professional educational unit as having responsibility and authority for the preparation of licensed educators; </w:t>
      </w:r>
    </w:p>
    <w:p w:rsidR="006A15B3" w:rsidRPr="006A15B3" w:rsidRDefault="006A15B3" w:rsidP="009B5121">
      <w:pPr>
        <w:ind w:left="360"/>
        <w:rPr>
          <w:sz w:val="24"/>
          <w:szCs w:val="24"/>
        </w:rPr>
      </w:pPr>
      <w:r w:rsidRPr="006A15B3">
        <w:rPr>
          <w:sz w:val="24"/>
          <w:szCs w:val="24"/>
        </w:rPr>
        <w:t xml:space="preserve">(d) Evidence that a dean, director or chair has been officially designated as head of the unit and is assigned the authority and responsibility for its overall administration and operation; </w:t>
      </w:r>
    </w:p>
    <w:p w:rsidR="006A15B3" w:rsidRPr="006A15B3" w:rsidRDefault="006A15B3" w:rsidP="009B5121">
      <w:pPr>
        <w:ind w:left="360"/>
        <w:rPr>
          <w:sz w:val="24"/>
          <w:szCs w:val="24"/>
        </w:rPr>
      </w:pPr>
      <w:r w:rsidRPr="006A15B3">
        <w:rPr>
          <w:sz w:val="24"/>
          <w:szCs w:val="24"/>
        </w:rPr>
        <w:t xml:space="preserve">(e) Written policies and procedures that will guide the operations of the unit, including but not limited to: student handbooks; procedures on admission; program waivers; and student appeal rights; </w:t>
      </w:r>
    </w:p>
    <w:p w:rsidR="006A15B3" w:rsidRPr="006A15B3" w:rsidRDefault="006A15B3" w:rsidP="009B5121">
      <w:pPr>
        <w:ind w:left="360"/>
        <w:rPr>
          <w:sz w:val="24"/>
          <w:szCs w:val="24"/>
        </w:rPr>
      </w:pPr>
      <w:r w:rsidRPr="006A15B3">
        <w:rPr>
          <w:sz w:val="24"/>
          <w:szCs w:val="24"/>
        </w:rPr>
        <w:t xml:space="preserve">(f) The unit's conceptual framework that establishes the shared vision for a unit's efforts in preparing educators to work in prekindergarten-12 schools and provides direction for programs, courses, teaching, candidate performance, scholarship, leadership, service and unit accountability; </w:t>
      </w:r>
    </w:p>
    <w:p w:rsidR="006A15B3" w:rsidRPr="006A15B3" w:rsidRDefault="006A15B3" w:rsidP="009B5121">
      <w:pPr>
        <w:ind w:left="360"/>
        <w:rPr>
          <w:sz w:val="24"/>
          <w:szCs w:val="24"/>
        </w:rPr>
      </w:pPr>
      <w:r w:rsidRPr="006A15B3">
        <w:rPr>
          <w:sz w:val="24"/>
          <w:szCs w:val="24"/>
        </w:rPr>
        <w:t xml:space="preserve">(g) Evidence that the unit regularly monitors and evaluates its operations, the quality of its offerings, the performance of its candidates, and the effectiveness of its graduates; and </w:t>
      </w:r>
    </w:p>
    <w:p w:rsidR="006A15B3" w:rsidRDefault="006A15B3" w:rsidP="009B5121">
      <w:pPr>
        <w:ind w:left="360"/>
        <w:rPr>
          <w:sz w:val="24"/>
          <w:szCs w:val="24"/>
        </w:rPr>
      </w:pPr>
      <w:r w:rsidRPr="006A15B3">
        <w:rPr>
          <w:sz w:val="24"/>
          <w:szCs w:val="24"/>
        </w:rPr>
        <w:t xml:space="preserve">(h) Evidence the unit has published criteria for admission to and exit from all initial teacher preparation and advanced programs and can provide summary reports of candidate performance at exit from the program. </w:t>
      </w:r>
    </w:p>
    <w:p w:rsidR="00C969BE" w:rsidRPr="006A15B3" w:rsidRDefault="00C969BE" w:rsidP="006A15B3">
      <w:pPr>
        <w:rPr>
          <w:sz w:val="24"/>
          <w:szCs w:val="24"/>
        </w:rPr>
      </w:pPr>
    </w:p>
    <w:p w:rsidR="006A15B3" w:rsidRDefault="006A15B3" w:rsidP="006A15B3">
      <w:pPr>
        <w:rPr>
          <w:sz w:val="24"/>
          <w:szCs w:val="24"/>
        </w:rPr>
      </w:pPr>
      <w:r w:rsidRPr="006A15B3">
        <w:rPr>
          <w:sz w:val="24"/>
          <w:szCs w:val="24"/>
        </w:rPr>
        <w:t xml:space="preserve">(3) Programs seeking first-time approval to offer any educator preparation licensure program must demonstrate that the unit proposing the program has already satisfied the pre-conditions set forth above or that they have received the approval of a pre-approved unit to offer an educator licensure program. </w:t>
      </w:r>
    </w:p>
    <w:p w:rsidR="00C969BE" w:rsidRPr="006A15B3" w:rsidRDefault="00C969BE" w:rsidP="006A15B3">
      <w:pPr>
        <w:rPr>
          <w:sz w:val="24"/>
          <w:szCs w:val="24"/>
        </w:rPr>
      </w:pPr>
    </w:p>
    <w:p w:rsidR="006A15B3" w:rsidRPr="006A15B3" w:rsidRDefault="006A15B3" w:rsidP="006A15B3">
      <w:pPr>
        <w:rPr>
          <w:sz w:val="24"/>
          <w:szCs w:val="24"/>
        </w:rPr>
      </w:pPr>
      <w:r w:rsidRPr="006A15B3">
        <w:rPr>
          <w:sz w:val="24"/>
          <w:szCs w:val="24"/>
        </w:rPr>
        <w:t xml:space="preserve">Stat. Auth.: ORS 342 </w:t>
      </w:r>
      <w:r w:rsidRPr="006A15B3">
        <w:rPr>
          <w:sz w:val="24"/>
          <w:szCs w:val="24"/>
        </w:rPr>
        <w:br/>
        <w:t xml:space="preserve">Stats. Implemented: ORS 342.120 - 342.430; 342.455 - 342.495; 342.533 </w:t>
      </w:r>
      <w:r w:rsidRPr="006A15B3">
        <w:rPr>
          <w:sz w:val="24"/>
          <w:szCs w:val="24"/>
        </w:rPr>
        <w:br/>
        <w:t xml:space="preserve">Hist.: TS 14, f. 12-20-76, </w:t>
      </w:r>
      <w:proofErr w:type="spellStart"/>
      <w:r w:rsidRPr="006A15B3">
        <w:rPr>
          <w:sz w:val="24"/>
          <w:szCs w:val="24"/>
        </w:rPr>
        <w:t>ef</w:t>
      </w:r>
      <w:proofErr w:type="spellEnd"/>
      <w:r w:rsidRPr="006A15B3">
        <w:rPr>
          <w:sz w:val="24"/>
          <w:szCs w:val="24"/>
        </w:rPr>
        <w:t xml:space="preserve">. 1-1-77; TS 3-1988, f. &amp; cert. </w:t>
      </w:r>
      <w:proofErr w:type="spellStart"/>
      <w:r w:rsidRPr="006A15B3">
        <w:rPr>
          <w:sz w:val="24"/>
          <w:szCs w:val="24"/>
        </w:rPr>
        <w:t>ef</w:t>
      </w:r>
      <w:proofErr w:type="spellEnd"/>
      <w:r w:rsidRPr="006A15B3">
        <w:rPr>
          <w:sz w:val="24"/>
          <w:szCs w:val="24"/>
        </w:rPr>
        <w:t xml:space="preserve">. 4-7-88; TSPC 1-1998, f. &amp; cert. </w:t>
      </w:r>
      <w:proofErr w:type="spellStart"/>
      <w:r w:rsidRPr="006A15B3">
        <w:rPr>
          <w:sz w:val="24"/>
          <w:szCs w:val="24"/>
        </w:rPr>
        <w:t>ef</w:t>
      </w:r>
      <w:proofErr w:type="spellEnd"/>
      <w:r w:rsidRPr="006A15B3">
        <w:rPr>
          <w:sz w:val="24"/>
          <w:szCs w:val="24"/>
        </w:rPr>
        <w:t xml:space="preserve">. 2-4-98; TSPC 2-2008, f. &amp; cert. </w:t>
      </w:r>
      <w:proofErr w:type="spellStart"/>
      <w:r w:rsidRPr="006A15B3">
        <w:rPr>
          <w:sz w:val="24"/>
          <w:szCs w:val="24"/>
        </w:rPr>
        <w:t>ef</w:t>
      </w:r>
      <w:proofErr w:type="spellEnd"/>
      <w:r w:rsidRPr="006A15B3">
        <w:rPr>
          <w:sz w:val="24"/>
          <w:szCs w:val="24"/>
        </w:rPr>
        <w:t xml:space="preserve">. 4-15-08; TSPC 3-2012, f. &amp; cert. </w:t>
      </w:r>
      <w:proofErr w:type="spellStart"/>
      <w:r w:rsidRPr="006A15B3">
        <w:rPr>
          <w:sz w:val="24"/>
          <w:szCs w:val="24"/>
        </w:rPr>
        <w:t>ef</w:t>
      </w:r>
      <w:proofErr w:type="spellEnd"/>
      <w:r w:rsidRPr="006A15B3">
        <w:rPr>
          <w:sz w:val="24"/>
          <w:szCs w:val="24"/>
        </w:rPr>
        <w:t xml:space="preserve">. 3-9-12 </w:t>
      </w:r>
    </w:p>
    <w:p w:rsidR="002D489A" w:rsidRPr="002D489A" w:rsidRDefault="002D489A" w:rsidP="002D489A">
      <w:pPr>
        <w:rPr>
          <w:sz w:val="24"/>
          <w:szCs w:val="24"/>
        </w:rPr>
      </w:pPr>
    </w:p>
    <w:p w:rsidR="002D489A" w:rsidRDefault="002D489A" w:rsidP="002D489A">
      <w:pPr>
        <w:rPr>
          <w:sz w:val="24"/>
          <w:szCs w:val="24"/>
        </w:rPr>
      </w:pPr>
    </w:p>
    <w:p w:rsidR="00136A4F" w:rsidRPr="002D489A" w:rsidRDefault="002D489A" w:rsidP="002D489A">
      <w:pPr>
        <w:tabs>
          <w:tab w:val="left" w:pos="1413"/>
        </w:tabs>
        <w:rPr>
          <w:sz w:val="24"/>
          <w:szCs w:val="24"/>
        </w:rPr>
      </w:pPr>
      <w:r>
        <w:rPr>
          <w:sz w:val="24"/>
          <w:szCs w:val="24"/>
        </w:rPr>
        <w:tab/>
      </w:r>
    </w:p>
    <w:sectPr w:rsidR="00136A4F" w:rsidRPr="002D489A" w:rsidSect="00105CF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C14" w:rsidRDefault="00AB0C14" w:rsidP="00E859BB">
      <w:r>
        <w:separator/>
      </w:r>
    </w:p>
  </w:endnote>
  <w:endnote w:type="continuationSeparator" w:id="0">
    <w:p w:rsidR="00AB0C14" w:rsidRDefault="00AB0C14" w:rsidP="00E8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8869"/>
      <w:docPartObj>
        <w:docPartGallery w:val="Page Numbers (Bottom of Page)"/>
        <w:docPartUnique/>
      </w:docPartObj>
    </w:sdtPr>
    <w:sdtEndPr/>
    <w:sdtContent>
      <w:p w:rsidR="007D7E31" w:rsidRDefault="007D7E31">
        <w:pPr>
          <w:pStyle w:val="Footer"/>
          <w:jc w:val="center"/>
        </w:pPr>
      </w:p>
      <w:p w:rsidR="007D7E31" w:rsidRDefault="002339A6">
        <w:pPr>
          <w:pStyle w:val="Footer"/>
          <w:jc w:val="center"/>
        </w:pPr>
      </w:p>
    </w:sdtContent>
  </w:sdt>
  <w:p w:rsidR="00B06113" w:rsidRDefault="007D7E31" w:rsidP="007D7E31">
    <w:pPr>
      <w:pStyle w:val="Footer"/>
      <w:rPr>
        <w:color w:val="7F7F7F"/>
        <w:sz w:val="16"/>
        <w:szCs w:val="16"/>
      </w:rPr>
    </w:pPr>
    <w:r w:rsidRPr="006E221B">
      <w:rPr>
        <w:color w:val="7F7F7F"/>
        <w:sz w:val="16"/>
        <w:szCs w:val="16"/>
      </w:rPr>
      <w:t>Data Classification: Level 1 – Published</w:t>
    </w:r>
  </w:p>
  <w:p w:rsidR="00B06113" w:rsidRDefault="002322FF" w:rsidP="007D7E31">
    <w:pPr>
      <w:pStyle w:val="Footer"/>
      <w:rPr>
        <w:rFonts w:ascii="Calibri" w:hAnsi="Calibri"/>
        <w:color w:val="7F7F7F"/>
        <w:sz w:val="16"/>
        <w:szCs w:val="16"/>
      </w:rPr>
    </w:pPr>
    <w:r>
      <w:rPr>
        <w:color w:val="7F7F7F"/>
        <w:sz w:val="16"/>
        <w:szCs w:val="16"/>
      </w:rPr>
      <w:t>January 2015</w:t>
    </w:r>
    <w:r w:rsidR="00C135D0">
      <w:rPr>
        <w:color w:val="7F7F7F"/>
        <w:sz w:val="16"/>
        <w:szCs w:val="16"/>
      </w:rPr>
      <w:t>: DO:</w:t>
    </w:r>
    <w:r w:rsidR="006A15B3">
      <w:rPr>
        <w:color w:val="7F7F7F"/>
        <w:sz w:val="16"/>
        <w:szCs w:val="16"/>
      </w:rPr>
      <w:t xml:space="preserve"> Menk</w:t>
    </w:r>
    <w:r w:rsidR="007D7E31">
      <w:rPr>
        <w:rFonts w:ascii="Calibri" w:hAnsi="Calibri"/>
        <w:color w:val="7F7F7F"/>
        <w:sz w:val="16"/>
        <w:szCs w:val="16"/>
      </w:rPr>
      <w:tab/>
    </w:r>
    <w:r w:rsidR="007D7E31">
      <w:rPr>
        <w:rFonts w:ascii="Calibri" w:hAnsi="Calibri"/>
        <w:color w:val="7F7F7F"/>
        <w:sz w:val="16"/>
        <w:szCs w:val="16"/>
      </w:rPr>
      <w:tab/>
    </w:r>
  </w:p>
  <w:p w:rsidR="007D7E31" w:rsidRPr="00E859BB" w:rsidRDefault="00B06113" w:rsidP="007D7E31">
    <w:pPr>
      <w:pStyle w:val="Footer"/>
      <w:rPr>
        <w:b/>
        <w:sz w:val="48"/>
        <w:szCs w:val="48"/>
      </w:rPr>
    </w:pPr>
    <w:r>
      <w:rPr>
        <w:b/>
        <w:sz w:val="48"/>
        <w:szCs w:val="48"/>
      </w:rPr>
      <w:tab/>
    </w:r>
    <w:r>
      <w:rPr>
        <w:b/>
        <w:sz w:val="48"/>
        <w:szCs w:val="48"/>
      </w:rPr>
      <w:tab/>
    </w:r>
    <w:r w:rsidR="006A15B3">
      <w:rPr>
        <w:b/>
        <w:sz w:val="48"/>
        <w:szCs w:val="48"/>
      </w:rPr>
      <w:t>4.8</w:t>
    </w:r>
  </w:p>
  <w:p w:rsidR="001653B7" w:rsidRPr="007D7E31" w:rsidRDefault="001653B7" w:rsidP="007D7E31">
    <w:pPr>
      <w:pStyle w:val="Footer"/>
      <w:rPr>
        <w:szCs w:val="4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C14" w:rsidRDefault="00AB0C14" w:rsidP="00E859BB">
      <w:r>
        <w:separator/>
      </w:r>
    </w:p>
  </w:footnote>
  <w:footnote w:type="continuationSeparator" w:id="0">
    <w:p w:rsidR="00AB0C14" w:rsidRDefault="00AB0C14" w:rsidP="00E8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2B6"/>
    <w:rsid w:val="00043905"/>
    <w:rsid w:val="00071D9F"/>
    <w:rsid w:val="000A698A"/>
    <w:rsid w:val="00101EF4"/>
    <w:rsid w:val="00105CFD"/>
    <w:rsid w:val="00126337"/>
    <w:rsid w:val="00136A4F"/>
    <w:rsid w:val="00152642"/>
    <w:rsid w:val="001653B7"/>
    <w:rsid w:val="00165C29"/>
    <w:rsid w:val="00191B4B"/>
    <w:rsid w:val="001B3E64"/>
    <w:rsid w:val="002322FF"/>
    <w:rsid w:val="002339A6"/>
    <w:rsid w:val="002B098B"/>
    <w:rsid w:val="002B7B4B"/>
    <w:rsid w:val="002C5DA9"/>
    <w:rsid w:val="002D1BD5"/>
    <w:rsid w:val="002D489A"/>
    <w:rsid w:val="003109D9"/>
    <w:rsid w:val="00314246"/>
    <w:rsid w:val="003468D6"/>
    <w:rsid w:val="00370052"/>
    <w:rsid w:val="00372AAB"/>
    <w:rsid w:val="00396499"/>
    <w:rsid w:val="003A6055"/>
    <w:rsid w:val="004015E5"/>
    <w:rsid w:val="00406380"/>
    <w:rsid w:val="00412278"/>
    <w:rsid w:val="00431B53"/>
    <w:rsid w:val="00456657"/>
    <w:rsid w:val="00476E5B"/>
    <w:rsid w:val="0049639A"/>
    <w:rsid w:val="004D3F0D"/>
    <w:rsid w:val="004D4C4B"/>
    <w:rsid w:val="005538CA"/>
    <w:rsid w:val="0055502D"/>
    <w:rsid w:val="00571C15"/>
    <w:rsid w:val="005720F4"/>
    <w:rsid w:val="005A6807"/>
    <w:rsid w:val="005B6C51"/>
    <w:rsid w:val="005E4D5F"/>
    <w:rsid w:val="00643DCD"/>
    <w:rsid w:val="006775BD"/>
    <w:rsid w:val="006A15B3"/>
    <w:rsid w:val="006A5EB6"/>
    <w:rsid w:val="006C1525"/>
    <w:rsid w:val="006E221B"/>
    <w:rsid w:val="007021A8"/>
    <w:rsid w:val="007326B6"/>
    <w:rsid w:val="007852F4"/>
    <w:rsid w:val="007D7E31"/>
    <w:rsid w:val="008076D6"/>
    <w:rsid w:val="008D384F"/>
    <w:rsid w:val="008F0998"/>
    <w:rsid w:val="008F11C1"/>
    <w:rsid w:val="00953F0A"/>
    <w:rsid w:val="009A2E07"/>
    <w:rsid w:val="009B5121"/>
    <w:rsid w:val="009B7E81"/>
    <w:rsid w:val="009C44DF"/>
    <w:rsid w:val="009D524C"/>
    <w:rsid w:val="009E035F"/>
    <w:rsid w:val="009E4BD2"/>
    <w:rsid w:val="009F724E"/>
    <w:rsid w:val="00A06273"/>
    <w:rsid w:val="00A37796"/>
    <w:rsid w:val="00AB0C14"/>
    <w:rsid w:val="00AE5733"/>
    <w:rsid w:val="00B052B6"/>
    <w:rsid w:val="00B06113"/>
    <w:rsid w:val="00B41E94"/>
    <w:rsid w:val="00BC07A9"/>
    <w:rsid w:val="00BD4EF0"/>
    <w:rsid w:val="00BE1B11"/>
    <w:rsid w:val="00BE6116"/>
    <w:rsid w:val="00C014C5"/>
    <w:rsid w:val="00C135D0"/>
    <w:rsid w:val="00C37F3B"/>
    <w:rsid w:val="00C4011F"/>
    <w:rsid w:val="00C7110E"/>
    <w:rsid w:val="00C969BE"/>
    <w:rsid w:val="00CA1CBB"/>
    <w:rsid w:val="00CB1E83"/>
    <w:rsid w:val="00CB51DD"/>
    <w:rsid w:val="00CC29BE"/>
    <w:rsid w:val="00CD4516"/>
    <w:rsid w:val="00D04982"/>
    <w:rsid w:val="00D178D9"/>
    <w:rsid w:val="00D70713"/>
    <w:rsid w:val="00DC513E"/>
    <w:rsid w:val="00DE6829"/>
    <w:rsid w:val="00DF13A1"/>
    <w:rsid w:val="00E21308"/>
    <w:rsid w:val="00E664A7"/>
    <w:rsid w:val="00E859BB"/>
    <w:rsid w:val="00E94EE6"/>
    <w:rsid w:val="00EE3B72"/>
    <w:rsid w:val="00F51DB1"/>
    <w:rsid w:val="00F84689"/>
    <w:rsid w:val="00FD318E"/>
    <w:rsid w:val="00FE341F"/>
    <w:rsid w:val="00FF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docId w15:val="{924963BB-D81D-4852-8939-551629F7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2B6"/>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052B6"/>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52B6"/>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E859BB"/>
    <w:pPr>
      <w:tabs>
        <w:tab w:val="center" w:pos="4680"/>
        <w:tab w:val="right" w:pos="9360"/>
      </w:tabs>
    </w:pPr>
  </w:style>
  <w:style w:type="character" w:customStyle="1" w:styleId="HeaderChar">
    <w:name w:val="Header Char"/>
    <w:basedOn w:val="DefaultParagraphFont"/>
    <w:link w:val="Header"/>
    <w:uiPriority w:val="99"/>
    <w:rsid w:val="00E859B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859BB"/>
    <w:pPr>
      <w:tabs>
        <w:tab w:val="center" w:pos="4680"/>
        <w:tab w:val="right" w:pos="9360"/>
      </w:tabs>
    </w:pPr>
  </w:style>
  <w:style w:type="character" w:customStyle="1" w:styleId="FooterChar">
    <w:name w:val="Footer Char"/>
    <w:basedOn w:val="DefaultParagraphFont"/>
    <w:link w:val="Footer"/>
    <w:uiPriority w:val="99"/>
    <w:rsid w:val="00E859BB"/>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859BB"/>
    <w:rPr>
      <w:rFonts w:ascii="Tahoma" w:hAnsi="Tahoma" w:cs="Tahoma"/>
      <w:sz w:val="16"/>
      <w:szCs w:val="16"/>
    </w:rPr>
  </w:style>
  <w:style w:type="character" w:customStyle="1" w:styleId="BalloonTextChar">
    <w:name w:val="Balloon Text Char"/>
    <w:basedOn w:val="DefaultParagraphFont"/>
    <w:link w:val="BalloonText"/>
    <w:uiPriority w:val="99"/>
    <w:semiHidden/>
    <w:rsid w:val="00E859BB"/>
    <w:rPr>
      <w:rFonts w:ascii="Tahoma" w:eastAsia="Times New Roman" w:hAnsi="Tahoma" w:cs="Tahoma"/>
      <w:sz w:val="16"/>
      <w:szCs w:val="16"/>
    </w:rPr>
  </w:style>
  <w:style w:type="paragraph" w:customStyle="1" w:styleId="Style1">
    <w:name w:val="Style1"/>
    <w:basedOn w:val="Normal"/>
    <w:qFormat/>
    <w:rsid w:val="002C5DA9"/>
    <w:rPr>
      <w:sz w:val="24"/>
      <w:szCs w:val="24"/>
    </w:rPr>
  </w:style>
  <w:style w:type="character" w:styleId="CommentReference">
    <w:name w:val="annotation reference"/>
    <w:basedOn w:val="DefaultParagraphFont"/>
    <w:uiPriority w:val="99"/>
    <w:semiHidden/>
    <w:unhideWhenUsed/>
    <w:rsid w:val="007852F4"/>
    <w:rPr>
      <w:sz w:val="16"/>
      <w:szCs w:val="16"/>
    </w:rPr>
  </w:style>
  <w:style w:type="paragraph" w:styleId="CommentText">
    <w:name w:val="annotation text"/>
    <w:basedOn w:val="Normal"/>
    <w:link w:val="CommentTextChar"/>
    <w:uiPriority w:val="99"/>
    <w:semiHidden/>
    <w:unhideWhenUsed/>
    <w:rsid w:val="007852F4"/>
  </w:style>
  <w:style w:type="character" w:customStyle="1" w:styleId="CommentTextChar">
    <w:name w:val="Comment Text Char"/>
    <w:basedOn w:val="DefaultParagraphFont"/>
    <w:link w:val="CommentText"/>
    <w:uiPriority w:val="99"/>
    <w:semiHidden/>
    <w:rsid w:val="007852F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852F4"/>
    <w:rPr>
      <w:b/>
      <w:bCs/>
    </w:rPr>
  </w:style>
  <w:style w:type="character" w:customStyle="1" w:styleId="CommentSubjectChar">
    <w:name w:val="Comment Subject Char"/>
    <w:basedOn w:val="CommentTextChar"/>
    <w:link w:val="CommentSubject"/>
    <w:uiPriority w:val="99"/>
    <w:semiHidden/>
    <w:rsid w:val="007852F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A15B3"/>
    <w:pPr>
      <w:spacing w:before="100" w:beforeAutospacing="1" w:after="100" w:afterAutospacing="1"/>
    </w:pPr>
    <w:rPr>
      <w:sz w:val="24"/>
      <w:szCs w:val="24"/>
    </w:rPr>
  </w:style>
  <w:style w:type="paragraph" w:styleId="ListParagraph">
    <w:name w:val="List Paragraph"/>
    <w:basedOn w:val="Normal"/>
    <w:uiPriority w:val="34"/>
    <w:qFormat/>
    <w:rsid w:val="00C96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772458">
      <w:bodyDiv w:val="1"/>
      <w:marLeft w:val="0"/>
      <w:marRight w:val="0"/>
      <w:marTop w:val="0"/>
      <w:marBottom w:val="0"/>
      <w:divBdr>
        <w:top w:val="none" w:sz="0" w:space="0" w:color="auto"/>
        <w:left w:val="none" w:sz="0" w:space="0" w:color="auto"/>
        <w:bottom w:val="none" w:sz="0" w:space="0" w:color="auto"/>
        <w:right w:val="none" w:sz="0" w:space="0" w:color="auto"/>
      </w:divBdr>
      <w:divsChild>
        <w:div w:id="1998224158">
          <w:marLeft w:val="0"/>
          <w:marRight w:val="0"/>
          <w:marTop w:val="0"/>
          <w:marBottom w:val="0"/>
          <w:divBdr>
            <w:top w:val="none" w:sz="0" w:space="0" w:color="auto"/>
            <w:left w:val="none" w:sz="0" w:space="0" w:color="auto"/>
            <w:bottom w:val="none" w:sz="0" w:space="0" w:color="auto"/>
            <w:right w:val="none" w:sz="0" w:space="0" w:color="auto"/>
          </w:divBdr>
          <w:divsChild>
            <w:div w:id="767429442">
              <w:marLeft w:val="0"/>
              <w:marRight w:val="0"/>
              <w:marTop w:val="0"/>
              <w:marBottom w:val="0"/>
              <w:divBdr>
                <w:top w:val="none" w:sz="0" w:space="0" w:color="auto"/>
                <w:left w:val="none" w:sz="0" w:space="0" w:color="auto"/>
                <w:bottom w:val="none" w:sz="0" w:space="0" w:color="auto"/>
                <w:right w:val="none" w:sz="0" w:space="0" w:color="auto"/>
              </w:divBdr>
              <w:divsChild>
                <w:div w:id="5933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A08C5-8057-4AEC-8ED3-FC1B1A2C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Oregon - DAS</Company>
  <LinksUpToDate>false</LinksUpToDate>
  <CharactersWithSpaces>4321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vchambe</dc:creator>
  <cp:lastModifiedBy>REINHARDT Heidi * TSPC</cp:lastModifiedBy>
  <cp:revision>3</cp:revision>
  <cp:lastPrinted>2011-10-26T20:50:00Z</cp:lastPrinted>
  <dcterms:created xsi:type="dcterms:W3CDTF">2015-01-24T00:29:00Z</dcterms:created>
  <dcterms:modified xsi:type="dcterms:W3CDTF">2015-01-26T18:03:00Z</dcterms:modified>
</cp:coreProperties>
</file>