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D7FF6" w14:textId="77777777" w:rsidR="00104458" w:rsidRDefault="00104458"/>
    <w:p w14:paraId="6992CD3E" w14:textId="77777777" w:rsidR="00104458" w:rsidRDefault="00104458"/>
    <w:tbl>
      <w:tblPr>
        <w:tblpPr w:leftFromText="180" w:rightFromText="180" w:vertAnchor="text" w:tblpY="1"/>
        <w:tblOverlap w:val="never"/>
        <w:tblW w:w="9221" w:type="dxa"/>
        <w:tblLayout w:type="fixed"/>
        <w:tblLook w:val="0000" w:firstRow="0" w:lastRow="0" w:firstColumn="0" w:lastColumn="0" w:noHBand="0" w:noVBand="0"/>
      </w:tblPr>
      <w:tblGrid>
        <w:gridCol w:w="2730"/>
        <w:gridCol w:w="4276"/>
        <w:gridCol w:w="2215"/>
      </w:tblGrid>
      <w:tr w:rsidR="00B84C9E" w14:paraId="68CA1612" w14:textId="77777777" w:rsidTr="00A9594D">
        <w:trPr>
          <w:trHeight w:val="1009"/>
        </w:trPr>
        <w:tc>
          <w:tcPr>
            <w:tcW w:w="7006" w:type="dxa"/>
            <w:gridSpan w:val="2"/>
            <w:tcBorders>
              <w:bottom w:val="dashDotStroked" w:sz="24" w:space="0" w:color="auto"/>
            </w:tcBorders>
          </w:tcPr>
          <w:p w14:paraId="46BB0D2D" w14:textId="77777777" w:rsidR="00B84C9E" w:rsidRPr="00E71B95" w:rsidRDefault="00B84C9E" w:rsidP="003C669C">
            <w:pPr>
              <w:pStyle w:val="Heading1"/>
              <w:tabs>
                <w:tab w:val="right" w:pos="9162"/>
              </w:tabs>
              <w:rPr>
                <w:rFonts w:ascii="Gill Sans MT" w:hAnsi="Gill Sans MT"/>
                <w:sz w:val="22"/>
                <w:szCs w:val="22"/>
              </w:rPr>
            </w:pPr>
            <w:r w:rsidRPr="00E71B95">
              <w:rPr>
                <w:rFonts w:ascii="Gill Sans MT" w:hAnsi="Gill Sans MT"/>
                <w:sz w:val="22"/>
                <w:szCs w:val="22"/>
              </w:rPr>
              <w:t>Teacher Standards and Practices Commission</w:t>
            </w:r>
          </w:p>
          <w:p w14:paraId="10F54713" w14:textId="77777777" w:rsidR="00B84C9E" w:rsidRPr="00E71B95" w:rsidRDefault="00B84C9E" w:rsidP="003C669C">
            <w:pPr>
              <w:pStyle w:val="Heading1"/>
              <w:rPr>
                <w:rFonts w:ascii="Gill Sans MT" w:hAnsi="Gill Sans MT"/>
                <w:sz w:val="22"/>
                <w:szCs w:val="22"/>
              </w:rPr>
            </w:pPr>
            <w:r w:rsidRPr="00E71B95">
              <w:rPr>
                <w:rFonts w:ascii="Gill Sans MT" w:hAnsi="Gill Sans MT"/>
                <w:sz w:val="22"/>
                <w:szCs w:val="22"/>
              </w:rPr>
              <w:t>250 Division Street NE</w:t>
            </w:r>
          </w:p>
          <w:p w14:paraId="2CB46192" w14:textId="77777777" w:rsidR="00B84C9E" w:rsidRPr="00E71B95" w:rsidRDefault="00B84C9E" w:rsidP="003C669C">
            <w:pPr>
              <w:pStyle w:val="Heading1"/>
              <w:rPr>
                <w:rFonts w:ascii="Gill Sans MT" w:hAnsi="Gill Sans MT"/>
                <w:b/>
                <w:sz w:val="22"/>
                <w:szCs w:val="22"/>
              </w:rPr>
            </w:pPr>
            <w:r w:rsidRPr="00E71B95">
              <w:rPr>
                <w:rFonts w:ascii="Gill Sans MT" w:hAnsi="Gill Sans MT"/>
                <w:sz w:val="22"/>
                <w:szCs w:val="22"/>
              </w:rPr>
              <w:t>Salem OR  97301</w:t>
            </w:r>
          </w:p>
          <w:p w14:paraId="1F0FE453" w14:textId="77777777" w:rsidR="00B84C9E" w:rsidRPr="00E71B95" w:rsidRDefault="00B84C9E" w:rsidP="003C669C">
            <w:pPr>
              <w:rPr>
                <w:rFonts w:ascii="Gill Sans MT" w:hAnsi="Gill Sans MT"/>
                <w:b/>
                <w:sz w:val="22"/>
                <w:szCs w:val="22"/>
              </w:rPr>
            </w:pPr>
          </w:p>
        </w:tc>
        <w:tc>
          <w:tcPr>
            <w:tcW w:w="2215" w:type="dxa"/>
            <w:tcBorders>
              <w:bottom w:val="dashDotStroked" w:sz="24" w:space="0" w:color="auto"/>
            </w:tcBorders>
          </w:tcPr>
          <w:p w14:paraId="3FB7062A" w14:textId="4A26F9DA" w:rsidR="00B84C9E" w:rsidRPr="00E71B95" w:rsidRDefault="0054590E" w:rsidP="003C669C">
            <w:pPr>
              <w:rPr>
                <w:rFonts w:ascii="Gill Sans MT" w:hAnsi="Gill Sans MT"/>
                <w:sz w:val="22"/>
                <w:szCs w:val="22"/>
              </w:rPr>
            </w:pPr>
            <w:r>
              <w:rPr>
                <w:rFonts w:ascii="Gill Sans MT" w:hAnsi="Gill Sans MT"/>
                <w:sz w:val="22"/>
                <w:szCs w:val="22"/>
              </w:rPr>
              <w:t>January 22, 2016</w:t>
            </w:r>
          </w:p>
          <w:p w14:paraId="6B745412" w14:textId="77777777" w:rsidR="00B84C9E" w:rsidRPr="00E71B95" w:rsidRDefault="00B84C9E" w:rsidP="003C669C">
            <w:pPr>
              <w:rPr>
                <w:rFonts w:ascii="Gill Sans MT" w:hAnsi="Gill Sans MT"/>
              </w:rPr>
            </w:pPr>
            <w:r w:rsidRPr="00E71B95">
              <w:rPr>
                <w:rFonts w:ascii="Gill Sans MT" w:hAnsi="Gill Sans MT"/>
              </w:rPr>
              <w:t>Administrative Rules</w:t>
            </w:r>
          </w:p>
        </w:tc>
      </w:tr>
      <w:tr w:rsidR="00B84C9E" w:rsidRPr="00412278" w14:paraId="4ACD8AAC" w14:textId="77777777" w:rsidTr="00A9594D">
        <w:trPr>
          <w:trHeight w:val="785"/>
        </w:trPr>
        <w:tc>
          <w:tcPr>
            <w:tcW w:w="2730" w:type="dxa"/>
            <w:tcBorders>
              <w:top w:val="dashDotStroked" w:sz="24" w:space="0" w:color="auto"/>
            </w:tcBorders>
          </w:tcPr>
          <w:p w14:paraId="59AFF931" w14:textId="77777777" w:rsidR="00104458" w:rsidRDefault="00104458" w:rsidP="003C669C">
            <w:pPr>
              <w:tabs>
                <w:tab w:val="left" w:pos="2610"/>
              </w:tabs>
              <w:rPr>
                <w:rFonts w:ascii="Gill Sans MT" w:hAnsi="Gill Sans MT"/>
                <w:sz w:val="22"/>
                <w:szCs w:val="22"/>
              </w:rPr>
            </w:pPr>
          </w:p>
          <w:p w14:paraId="4EF7B4BA" w14:textId="77777777" w:rsidR="00104458" w:rsidRDefault="00104458" w:rsidP="003C669C">
            <w:pPr>
              <w:tabs>
                <w:tab w:val="left" w:pos="2610"/>
              </w:tabs>
              <w:rPr>
                <w:rFonts w:ascii="Gill Sans MT" w:hAnsi="Gill Sans MT"/>
                <w:sz w:val="22"/>
                <w:szCs w:val="22"/>
              </w:rPr>
            </w:pPr>
          </w:p>
          <w:p w14:paraId="0FDD1AF1" w14:textId="77777777" w:rsidR="00104458" w:rsidRPr="00E71B95" w:rsidRDefault="00104458" w:rsidP="003C669C">
            <w:pPr>
              <w:tabs>
                <w:tab w:val="left" w:pos="2610"/>
              </w:tabs>
              <w:rPr>
                <w:rFonts w:ascii="Gill Sans MT" w:hAnsi="Gill Sans MT"/>
                <w:sz w:val="22"/>
                <w:szCs w:val="22"/>
              </w:rPr>
            </w:pPr>
          </w:p>
          <w:p w14:paraId="24DC5599" w14:textId="77777777" w:rsidR="00B84C9E" w:rsidRPr="00E71B95" w:rsidRDefault="00B84C9E" w:rsidP="003C669C">
            <w:pPr>
              <w:tabs>
                <w:tab w:val="left" w:pos="2610"/>
              </w:tabs>
              <w:rPr>
                <w:rFonts w:ascii="Gill Sans MT" w:hAnsi="Gill Sans MT"/>
                <w:sz w:val="22"/>
                <w:szCs w:val="22"/>
              </w:rPr>
            </w:pPr>
            <w:r w:rsidRPr="00E71B95">
              <w:rPr>
                <w:rFonts w:ascii="Gill Sans MT" w:hAnsi="Gill Sans MT"/>
                <w:sz w:val="22"/>
                <w:szCs w:val="22"/>
              </w:rPr>
              <w:t>ITEM:</w:t>
            </w:r>
          </w:p>
          <w:p w14:paraId="33CC8ECC" w14:textId="77777777" w:rsidR="00B84C9E" w:rsidRPr="00E71B95" w:rsidRDefault="00B84C9E" w:rsidP="003C669C">
            <w:pPr>
              <w:tabs>
                <w:tab w:val="left" w:pos="2610"/>
              </w:tabs>
              <w:rPr>
                <w:rFonts w:ascii="Gill Sans MT" w:hAnsi="Gill Sans MT"/>
                <w:sz w:val="22"/>
                <w:szCs w:val="22"/>
              </w:rPr>
            </w:pPr>
          </w:p>
        </w:tc>
        <w:tc>
          <w:tcPr>
            <w:tcW w:w="6491" w:type="dxa"/>
            <w:gridSpan w:val="2"/>
            <w:tcBorders>
              <w:top w:val="dashDotStroked" w:sz="24" w:space="0" w:color="auto"/>
            </w:tcBorders>
          </w:tcPr>
          <w:p w14:paraId="3E304BA9" w14:textId="77777777" w:rsidR="00104458" w:rsidRDefault="00104458" w:rsidP="003C669C">
            <w:pPr>
              <w:rPr>
                <w:rFonts w:ascii="Gill Sans MT" w:hAnsi="Gill Sans MT"/>
                <w:sz w:val="22"/>
                <w:szCs w:val="22"/>
              </w:rPr>
            </w:pPr>
          </w:p>
          <w:p w14:paraId="5DD35A19" w14:textId="77777777" w:rsidR="00104458" w:rsidRDefault="00104458" w:rsidP="003C669C">
            <w:pPr>
              <w:rPr>
                <w:rFonts w:ascii="Gill Sans MT" w:hAnsi="Gill Sans MT"/>
                <w:sz w:val="22"/>
                <w:szCs w:val="22"/>
              </w:rPr>
            </w:pPr>
          </w:p>
          <w:p w14:paraId="45F0BA71" w14:textId="77777777" w:rsidR="00104458" w:rsidRPr="00E71B95" w:rsidRDefault="00104458" w:rsidP="003C669C">
            <w:pPr>
              <w:rPr>
                <w:rFonts w:ascii="Gill Sans MT" w:hAnsi="Gill Sans MT"/>
                <w:sz w:val="22"/>
                <w:szCs w:val="22"/>
              </w:rPr>
            </w:pPr>
          </w:p>
          <w:p w14:paraId="0C5F0F11" w14:textId="77777777" w:rsidR="00B84C9E" w:rsidRPr="00E71B95" w:rsidRDefault="00B84C9E" w:rsidP="003C669C">
            <w:pPr>
              <w:rPr>
                <w:rFonts w:ascii="Gill Sans MT" w:hAnsi="Gill Sans MT"/>
                <w:sz w:val="22"/>
                <w:szCs w:val="22"/>
              </w:rPr>
            </w:pPr>
            <w:r w:rsidRPr="00E71B95">
              <w:rPr>
                <w:rFonts w:ascii="Gill Sans MT" w:hAnsi="Gill Sans MT"/>
                <w:sz w:val="22"/>
                <w:szCs w:val="22"/>
              </w:rPr>
              <w:t>ADOPTION OF PERMANENT RULES</w:t>
            </w:r>
          </w:p>
          <w:p w14:paraId="35D1C05D" w14:textId="77777777" w:rsidR="00B84C9E" w:rsidRPr="00E71B95" w:rsidRDefault="00B84C9E" w:rsidP="003C669C">
            <w:pPr>
              <w:rPr>
                <w:rFonts w:ascii="Gill Sans MT" w:hAnsi="Gill Sans MT"/>
                <w:sz w:val="22"/>
                <w:szCs w:val="22"/>
              </w:rPr>
            </w:pPr>
            <w:r w:rsidRPr="00E71B95">
              <w:rPr>
                <w:rFonts w:ascii="Gill Sans MT" w:hAnsi="Gill Sans MT"/>
                <w:sz w:val="22"/>
                <w:szCs w:val="22"/>
              </w:rPr>
              <w:t xml:space="preserve"> </w:t>
            </w:r>
          </w:p>
        </w:tc>
      </w:tr>
      <w:tr w:rsidR="00B84C9E" w:rsidRPr="00412278" w14:paraId="454CD17D" w14:textId="77777777" w:rsidTr="00A9594D">
        <w:trPr>
          <w:trHeight w:val="516"/>
        </w:trPr>
        <w:tc>
          <w:tcPr>
            <w:tcW w:w="2730" w:type="dxa"/>
          </w:tcPr>
          <w:p w14:paraId="4A4DCEFC" w14:textId="77777777" w:rsidR="00B84C9E" w:rsidRPr="00E71B95" w:rsidRDefault="00B84C9E" w:rsidP="003C669C">
            <w:pPr>
              <w:tabs>
                <w:tab w:val="left" w:pos="2610"/>
              </w:tabs>
              <w:rPr>
                <w:rFonts w:ascii="Gill Sans MT" w:hAnsi="Gill Sans MT"/>
                <w:sz w:val="22"/>
                <w:szCs w:val="22"/>
              </w:rPr>
            </w:pPr>
            <w:r w:rsidRPr="00E71B95">
              <w:rPr>
                <w:rFonts w:ascii="Gill Sans MT" w:hAnsi="Gill Sans MT"/>
                <w:sz w:val="22"/>
                <w:szCs w:val="22"/>
              </w:rPr>
              <w:t>ACTION:</w:t>
            </w:r>
          </w:p>
          <w:p w14:paraId="260A85F8" w14:textId="77777777" w:rsidR="00B84C9E" w:rsidRPr="00E71B95" w:rsidRDefault="00B84C9E" w:rsidP="003C669C">
            <w:pPr>
              <w:tabs>
                <w:tab w:val="left" w:pos="2610"/>
              </w:tabs>
              <w:rPr>
                <w:rFonts w:ascii="Gill Sans MT" w:hAnsi="Gill Sans MT"/>
                <w:sz w:val="22"/>
                <w:szCs w:val="22"/>
              </w:rPr>
            </w:pPr>
          </w:p>
        </w:tc>
        <w:tc>
          <w:tcPr>
            <w:tcW w:w="6491" w:type="dxa"/>
            <w:gridSpan w:val="2"/>
          </w:tcPr>
          <w:p w14:paraId="7CC24E8F" w14:textId="77777777" w:rsidR="00B84C9E" w:rsidRPr="00E71B95" w:rsidRDefault="00B84C9E" w:rsidP="003C669C">
            <w:pPr>
              <w:tabs>
                <w:tab w:val="left" w:pos="2610"/>
              </w:tabs>
              <w:rPr>
                <w:rFonts w:ascii="Gill Sans MT" w:hAnsi="Gill Sans MT"/>
                <w:sz w:val="22"/>
                <w:szCs w:val="22"/>
              </w:rPr>
            </w:pPr>
            <w:r w:rsidRPr="00E71B95">
              <w:rPr>
                <w:rFonts w:ascii="Gill Sans MT" w:hAnsi="Gill Sans MT"/>
                <w:sz w:val="22"/>
                <w:szCs w:val="22"/>
              </w:rPr>
              <w:t>ACTION ITEM</w:t>
            </w:r>
          </w:p>
        </w:tc>
      </w:tr>
      <w:tr w:rsidR="00B84C9E" w:rsidRPr="00412278" w14:paraId="38422A05" w14:textId="77777777" w:rsidTr="00A9594D">
        <w:trPr>
          <w:trHeight w:val="1601"/>
        </w:trPr>
        <w:tc>
          <w:tcPr>
            <w:tcW w:w="2730" w:type="dxa"/>
          </w:tcPr>
          <w:p w14:paraId="2F0D86E5" w14:textId="77777777" w:rsidR="00B84C9E" w:rsidRPr="00E71B95" w:rsidRDefault="00B84C9E" w:rsidP="003C669C">
            <w:pPr>
              <w:tabs>
                <w:tab w:val="left" w:pos="2610"/>
              </w:tabs>
              <w:rPr>
                <w:rFonts w:ascii="Gill Sans MT" w:hAnsi="Gill Sans MT"/>
                <w:sz w:val="22"/>
                <w:szCs w:val="22"/>
              </w:rPr>
            </w:pPr>
            <w:r w:rsidRPr="00E71B95">
              <w:rPr>
                <w:rFonts w:ascii="Gill Sans MT" w:hAnsi="Gill Sans MT"/>
                <w:sz w:val="22"/>
                <w:szCs w:val="22"/>
              </w:rPr>
              <w:t>RECOMMENDATION:</w:t>
            </w:r>
          </w:p>
          <w:p w14:paraId="34FCDAE8" w14:textId="77777777" w:rsidR="00B84C9E" w:rsidRPr="00E71B95" w:rsidRDefault="00B84C9E" w:rsidP="003C669C">
            <w:pPr>
              <w:tabs>
                <w:tab w:val="left" w:pos="2610"/>
              </w:tabs>
              <w:rPr>
                <w:rFonts w:ascii="Gill Sans MT" w:hAnsi="Gill Sans MT"/>
                <w:sz w:val="22"/>
                <w:szCs w:val="22"/>
              </w:rPr>
            </w:pPr>
          </w:p>
        </w:tc>
        <w:tc>
          <w:tcPr>
            <w:tcW w:w="6491" w:type="dxa"/>
            <w:gridSpan w:val="2"/>
          </w:tcPr>
          <w:p w14:paraId="6366B658" w14:textId="77777777" w:rsidR="00B84C9E" w:rsidRPr="00E71B95" w:rsidRDefault="00B84C9E" w:rsidP="003C669C">
            <w:pPr>
              <w:tabs>
                <w:tab w:val="left" w:pos="-18"/>
              </w:tabs>
              <w:ind w:left="-18" w:firstLine="18"/>
              <w:rPr>
                <w:rFonts w:ascii="Gill Sans MT" w:hAnsi="Gill Sans MT"/>
                <w:sz w:val="22"/>
                <w:szCs w:val="22"/>
              </w:rPr>
            </w:pPr>
            <w:r w:rsidRPr="00E71B95">
              <w:rPr>
                <w:rFonts w:ascii="Gill Sans MT" w:hAnsi="Gill Sans MT"/>
                <w:sz w:val="22"/>
                <w:szCs w:val="22"/>
              </w:rPr>
              <w:t>The Executive Director recommends adoption of the following resolution:</w:t>
            </w:r>
          </w:p>
          <w:p w14:paraId="766E336B" w14:textId="77777777" w:rsidR="00B84C9E" w:rsidRPr="00E71B95" w:rsidRDefault="00B84C9E" w:rsidP="003C669C">
            <w:pPr>
              <w:tabs>
                <w:tab w:val="left" w:pos="-18"/>
              </w:tabs>
              <w:ind w:left="-18" w:firstLine="18"/>
              <w:rPr>
                <w:rFonts w:ascii="Gill Sans MT" w:hAnsi="Gill Sans MT"/>
                <w:sz w:val="22"/>
                <w:szCs w:val="22"/>
              </w:rPr>
            </w:pPr>
          </w:p>
          <w:p w14:paraId="3CD365D2" w14:textId="6C676652" w:rsidR="00104458" w:rsidRPr="00E71B95" w:rsidRDefault="00B84C9E" w:rsidP="00B0206F">
            <w:pPr>
              <w:tabs>
                <w:tab w:val="left" w:pos="-18"/>
              </w:tabs>
              <w:ind w:left="-18" w:firstLine="18"/>
              <w:rPr>
                <w:rFonts w:ascii="Gill Sans MT" w:hAnsi="Gill Sans MT"/>
                <w:sz w:val="22"/>
                <w:szCs w:val="22"/>
              </w:rPr>
            </w:pPr>
            <w:r w:rsidRPr="00E71B95">
              <w:rPr>
                <w:rFonts w:ascii="Gill Sans MT" w:hAnsi="Gill Sans MT"/>
                <w:b/>
                <w:sz w:val="22"/>
                <w:szCs w:val="22"/>
              </w:rPr>
              <w:t>RESOLVED that,</w:t>
            </w:r>
            <w:r w:rsidRPr="00E71B95">
              <w:rPr>
                <w:rFonts w:ascii="Gill Sans MT" w:hAnsi="Gill Sans MT"/>
                <w:sz w:val="22"/>
                <w:szCs w:val="22"/>
              </w:rPr>
              <w:t xml:space="preserve"> the administrative rules enumerated below are adopted and become effective immediately upon filing (unless otherwise noted in the rule summary or Commission action.)</w:t>
            </w:r>
          </w:p>
          <w:p w14:paraId="28C8BE88" w14:textId="77777777" w:rsidR="00B84C9E" w:rsidRPr="00E71B95" w:rsidRDefault="00B84C9E" w:rsidP="003C669C">
            <w:pPr>
              <w:tabs>
                <w:tab w:val="left" w:pos="-18"/>
              </w:tabs>
              <w:ind w:left="-18" w:firstLine="18"/>
              <w:rPr>
                <w:rFonts w:ascii="Gill Sans MT" w:hAnsi="Gill Sans MT"/>
                <w:sz w:val="22"/>
                <w:szCs w:val="22"/>
              </w:rPr>
            </w:pPr>
          </w:p>
        </w:tc>
      </w:tr>
      <w:tr w:rsidR="00B84C9E" w:rsidRPr="00412278" w14:paraId="294CFC4E" w14:textId="77777777" w:rsidTr="00A9594D">
        <w:trPr>
          <w:trHeight w:val="1221"/>
        </w:trPr>
        <w:tc>
          <w:tcPr>
            <w:tcW w:w="2730" w:type="dxa"/>
          </w:tcPr>
          <w:p w14:paraId="5D52C7A6" w14:textId="77777777" w:rsidR="00B84C9E" w:rsidRPr="00E71B95" w:rsidRDefault="00B84C9E" w:rsidP="003C669C">
            <w:pPr>
              <w:tabs>
                <w:tab w:val="left" w:pos="2610"/>
              </w:tabs>
              <w:rPr>
                <w:rFonts w:ascii="Gill Sans MT" w:hAnsi="Gill Sans MT"/>
                <w:sz w:val="24"/>
                <w:szCs w:val="24"/>
              </w:rPr>
            </w:pPr>
            <w:r w:rsidRPr="00E71B95">
              <w:rPr>
                <w:rFonts w:ascii="Gill Sans MT" w:hAnsi="Gill Sans MT"/>
                <w:sz w:val="24"/>
                <w:szCs w:val="24"/>
              </w:rPr>
              <w:t>INFORMATION:</w:t>
            </w:r>
          </w:p>
          <w:p w14:paraId="4BC2103C" w14:textId="77777777" w:rsidR="00B84C9E" w:rsidRPr="00E71B95" w:rsidRDefault="00B84C9E" w:rsidP="003C669C">
            <w:pPr>
              <w:tabs>
                <w:tab w:val="left" w:pos="2610"/>
              </w:tabs>
              <w:rPr>
                <w:rFonts w:ascii="Gill Sans MT" w:hAnsi="Gill Sans MT"/>
                <w:sz w:val="24"/>
                <w:szCs w:val="24"/>
              </w:rPr>
            </w:pPr>
          </w:p>
        </w:tc>
        <w:tc>
          <w:tcPr>
            <w:tcW w:w="6491" w:type="dxa"/>
            <w:gridSpan w:val="2"/>
          </w:tcPr>
          <w:p w14:paraId="75CF0E29" w14:textId="4E0032F4" w:rsidR="00F229A6" w:rsidRDefault="0054590E" w:rsidP="00F229A6">
            <w:pPr>
              <w:tabs>
                <w:tab w:val="left" w:pos="-18"/>
              </w:tabs>
              <w:ind w:left="-18" w:firstLine="18"/>
              <w:rPr>
                <w:rFonts w:ascii="Gill Sans MT" w:hAnsi="Gill Sans MT"/>
                <w:sz w:val="22"/>
                <w:szCs w:val="22"/>
              </w:rPr>
            </w:pPr>
            <w:r>
              <w:rPr>
                <w:rFonts w:ascii="Gill Sans MT" w:hAnsi="Gill Sans MT"/>
                <w:sz w:val="22"/>
                <w:szCs w:val="22"/>
              </w:rPr>
              <w:t>The Commission adopted the following rules at its November 5, 2015 meeting:</w:t>
            </w:r>
          </w:p>
          <w:p w14:paraId="7B1DB852" w14:textId="77777777" w:rsidR="0054590E" w:rsidRDefault="0054590E" w:rsidP="00F229A6">
            <w:pPr>
              <w:tabs>
                <w:tab w:val="left" w:pos="-18"/>
              </w:tabs>
              <w:ind w:left="-18" w:firstLine="18"/>
              <w:rPr>
                <w:rFonts w:ascii="Gill Sans MT" w:hAnsi="Gill Sans MT"/>
                <w:sz w:val="22"/>
                <w:szCs w:val="22"/>
              </w:rPr>
            </w:pPr>
          </w:p>
          <w:p w14:paraId="78AF93BA" w14:textId="3C45F678" w:rsidR="0054590E" w:rsidRDefault="0054590E" w:rsidP="00F229A6">
            <w:pPr>
              <w:tabs>
                <w:tab w:val="left" w:pos="-18"/>
              </w:tabs>
              <w:ind w:left="-18" w:firstLine="18"/>
              <w:rPr>
                <w:rFonts w:ascii="Gill Sans MT" w:hAnsi="Gill Sans MT"/>
                <w:sz w:val="22"/>
                <w:szCs w:val="22"/>
              </w:rPr>
            </w:pPr>
            <w:r>
              <w:rPr>
                <w:rFonts w:ascii="Gill Sans MT" w:hAnsi="Gill Sans MT"/>
                <w:sz w:val="22"/>
                <w:szCs w:val="22"/>
              </w:rPr>
              <w:t>Division 210: Teaching Licenses -- as permanent rules and provided “notice” for purposes of adopting technical changes at January meeting.</w:t>
            </w:r>
          </w:p>
          <w:p w14:paraId="2174062D" w14:textId="77777777" w:rsidR="0054590E" w:rsidRDefault="0054590E" w:rsidP="0054590E">
            <w:pPr>
              <w:tabs>
                <w:tab w:val="left" w:pos="-18"/>
              </w:tabs>
              <w:ind w:left="-18" w:firstLine="18"/>
              <w:rPr>
                <w:rFonts w:ascii="Gill Sans MT" w:hAnsi="Gill Sans MT"/>
                <w:sz w:val="22"/>
                <w:szCs w:val="22"/>
              </w:rPr>
            </w:pPr>
          </w:p>
          <w:p w14:paraId="7C58A7F8" w14:textId="206B3284" w:rsidR="0054590E" w:rsidRDefault="0054590E" w:rsidP="0054590E">
            <w:pPr>
              <w:tabs>
                <w:tab w:val="left" w:pos="-18"/>
              </w:tabs>
              <w:ind w:left="-18" w:firstLine="18"/>
              <w:rPr>
                <w:rFonts w:ascii="Gill Sans MT" w:hAnsi="Gill Sans MT"/>
                <w:sz w:val="22"/>
                <w:szCs w:val="22"/>
              </w:rPr>
            </w:pPr>
            <w:r>
              <w:rPr>
                <w:rFonts w:ascii="Gill Sans MT" w:hAnsi="Gill Sans MT"/>
                <w:sz w:val="22"/>
                <w:szCs w:val="22"/>
              </w:rPr>
              <w:t>Division 220: Teaching Endorsements -- as permanent rules and provided “notice” for purposes of adopting technical changes at January meeting.</w:t>
            </w:r>
          </w:p>
          <w:p w14:paraId="1853CD8B" w14:textId="4B7DA5F4" w:rsidR="0054590E" w:rsidRDefault="0054590E" w:rsidP="00F229A6">
            <w:pPr>
              <w:tabs>
                <w:tab w:val="left" w:pos="-18"/>
              </w:tabs>
              <w:ind w:left="-18" w:firstLine="18"/>
              <w:rPr>
                <w:rFonts w:ascii="Gill Sans MT" w:hAnsi="Gill Sans MT"/>
                <w:sz w:val="22"/>
                <w:szCs w:val="22"/>
              </w:rPr>
            </w:pPr>
          </w:p>
          <w:p w14:paraId="1B26255C" w14:textId="77777777" w:rsidR="0054590E" w:rsidRDefault="0054590E" w:rsidP="0054590E">
            <w:pPr>
              <w:tabs>
                <w:tab w:val="left" w:pos="-18"/>
              </w:tabs>
              <w:ind w:left="-18" w:firstLine="18"/>
              <w:rPr>
                <w:rFonts w:ascii="Gill Sans MT" w:hAnsi="Gill Sans MT"/>
                <w:sz w:val="22"/>
                <w:szCs w:val="22"/>
              </w:rPr>
            </w:pPr>
            <w:r>
              <w:rPr>
                <w:rFonts w:ascii="Gill Sans MT" w:hAnsi="Gill Sans MT"/>
                <w:sz w:val="22"/>
                <w:szCs w:val="22"/>
              </w:rPr>
              <w:t>Division 255:  Professional Practices -- as permanent rules and provided “notice” for purposes of adopting technical changes at January meeting.</w:t>
            </w:r>
          </w:p>
          <w:p w14:paraId="3524F326" w14:textId="77777777" w:rsidR="0054590E" w:rsidRDefault="0054590E" w:rsidP="0054590E">
            <w:pPr>
              <w:tabs>
                <w:tab w:val="left" w:pos="-18"/>
              </w:tabs>
              <w:rPr>
                <w:rFonts w:ascii="Gill Sans MT" w:hAnsi="Gill Sans MT"/>
                <w:sz w:val="22"/>
                <w:szCs w:val="22"/>
              </w:rPr>
            </w:pPr>
          </w:p>
          <w:p w14:paraId="7CC33A14" w14:textId="122D2B6C" w:rsidR="0054590E" w:rsidRDefault="0054590E" w:rsidP="00F229A6">
            <w:pPr>
              <w:tabs>
                <w:tab w:val="left" w:pos="-18"/>
              </w:tabs>
              <w:ind w:left="-18" w:firstLine="18"/>
              <w:rPr>
                <w:rFonts w:ascii="Gill Sans MT" w:hAnsi="Gill Sans MT"/>
                <w:sz w:val="22"/>
                <w:szCs w:val="22"/>
              </w:rPr>
            </w:pPr>
            <w:r>
              <w:rPr>
                <w:rFonts w:ascii="Gill Sans MT" w:hAnsi="Gill Sans MT"/>
                <w:sz w:val="22"/>
                <w:szCs w:val="22"/>
              </w:rPr>
              <w:t>Division 200:  License Procedures – as temporary rules and referred to public comment</w:t>
            </w:r>
          </w:p>
          <w:p w14:paraId="759C8B79" w14:textId="77777777" w:rsidR="0054590E" w:rsidRDefault="0054590E" w:rsidP="00F229A6">
            <w:pPr>
              <w:tabs>
                <w:tab w:val="left" w:pos="-18"/>
              </w:tabs>
              <w:ind w:left="-18" w:firstLine="18"/>
              <w:rPr>
                <w:rFonts w:ascii="Gill Sans MT" w:hAnsi="Gill Sans MT"/>
                <w:sz w:val="22"/>
                <w:szCs w:val="22"/>
              </w:rPr>
            </w:pPr>
          </w:p>
          <w:p w14:paraId="68981C41" w14:textId="1FBF8A66" w:rsidR="0054590E" w:rsidRDefault="0054590E" w:rsidP="00F229A6">
            <w:pPr>
              <w:tabs>
                <w:tab w:val="left" w:pos="-18"/>
              </w:tabs>
              <w:ind w:left="-18" w:firstLine="18"/>
              <w:rPr>
                <w:rFonts w:ascii="Gill Sans MT" w:hAnsi="Gill Sans MT"/>
                <w:sz w:val="22"/>
                <w:szCs w:val="22"/>
              </w:rPr>
            </w:pPr>
            <w:r>
              <w:rPr>
                <w:rFonts w:ascii="Gill Sans MT" w:hAnsi="Gill Sans MT"/>
                <w:sz w:val="22"/>
                <w:szCs w:val="22"/>
              </w:rPr>
              <w:t>Division 225: Specializations – as temporary rules and referred to public comment</w:t>
            </w:r>
          </w:p>
          <w:p w14:paraId="119F982C" w14:textId="77777777" w:rsidR="0054590E" w:rsidRDefault="0054590E" w:rsidP="00F229A6">
            <w:pPr>
              <w:tabs>
                <w:tab w:val="left" w:pos="-18"/>
              </w:tabs>
              <w:ind w:left="-18" w:firstLine="18"/>
              <w:rPr>
                <w:rFonts w:ascii="Gill Sans MT" w:hAnsi="Gill Sans MT"/>
                <w:sz w:val="22"/>
                <w:szCs w:val="22"/>
              </w:rPr>
            </w:pPr>
          </w:p>
          <w:p w14:paraId="22464C39" w14:textId="3246F722" w:rsidR="0054590E" w:rsidRDefault="0054590E" w:rsidP="00F229A6">
            <w:pPr>
              <w:tabs>
                <w:tab w:val="left" w:pos="-18"/>
              </w:tabs>
              <w:ind w:left="-18" w:firstLine="18"/>
              <w:rPr>
                <w:rFonts w:ascii="Gill Sans MT" w:hAnsi="Gill Sans MT"/>
                <w:sz w:val="22"/>
                <w:szCs w:val="22"/>
              </w:rPr>
            </w:pPr>
            <w:r>
              <w:rPr>
                <w:rFonts w:ascii="Gill Sans MT" w:hAnsi="Gill Sans MT"/>
                <w:sz w:val="22"/>
                <w:szCs w:val="22"/>
              </w:rPr>
              <w:t>Division 420: Program Standards for License, Endorsement, Specializations – as temporary rules and referred to public comment</w:t>
            </w:r>
          </w:p>
          <w:p w14:paraId="6783A732" w14:textId="77777777" w:rsidR="0054590E" w:rsidRDefault="0054590E" w:rsidP="00F229A6">
            <w:pPr>
              <w:tabs>
                <w:tab w:val="left" w:pos="-18"/>
              </w:tabs>
              <w:ind w:left="-18" w:firstLine="18"/>
              <w:rPr>
                <w:rFonts w:ascii="Gill Sans MT" w:hAnsi="Gill Sans MT"/>
                <w:sz w:val="22"/>
                <w:szCs w:val="22"/>
              </w:rPr>
            </w:pPr>
          </w:p>
          <w:p w14:paraId="02231A9E" w14:textId="48637A97" w:rsidR="00942E55" w:rsidRDefault="00942E55" w:rsidP="00F229A6">
            <w:pPr>
              <w:tabs>
                <w:tab w:val="left" w:pos="-18"/>
              </w:tabs>
              <w:ind w:left="-18" w:firstLine="18"/>
              <w:rPr>
                <w:rFonts w:ascii="Gill Sans MT" w:hAnsi="Gill Sans MT"/>
                <w:sz w:val="22"/>
                <w:szCs w:val="22"/>
              </w:rPr>
            </w:pPr>
            <w:r>
              <w:rPr>
                <w:rFonts w:ascii="Gill Sans MT" w:hAnsi="Gill Sans MT"/>
                <w:sz w:val="22"/>
                <w:szCs w:val="22"/>
              </w:rPr>
              <w:t>Many rules associated with the former rule system were temporarily suspended and now will be permanent repealed.  (We needed to provide notice prior to permanently repealing the rules.)</w:t>
            </w:r>
          </w:p>
          <w:p w14:paraId="17C0E323" w14:textId="77777777" w:rsidR="00942E55" w:rsidRDefault="00942E55" w:rsidP="00F229A6">
            <w:pPr>
              <w:tabs>
                <w:tab w:val="left" w:pos="-18"/>
              </w:tabs>
              <w:ind w:left="-18" w:firstLine="18"/>
              <w:rPr>
                <w:rFonts w:ascii="Gill Sans MT" w:hAnsi="Gill Sans MT"/>
                <w:sz w:val="22"/>
                <w:szCs w:val="22"/>
              </w:rPr>
            </w:pPr>
          </w:p>
          <w:p w14:paraId="09A29E19" w14:textId="581856BB" w:rsidR="0054590E" w:rsidRDefault="0054590E" w:rsidP="00F229A6">
            <w:pPr>
              <w:tabs>
                <w:tab w:val="left" w:pos="-18"/>
              </w:tabs>
              <w:ind w:left="-18" w:firstLine="18"/>
              <w:rPr>
                <w:rFonts w:ascii="Gill Sans MT" w:hAnsi="Gill Sans MT"/>
                <w:sz w:val="22"/>
                <w:szCs w:val="22"/>
              </w:rPr>
            </w:pPr>
            <w:r>
              <w:rPr>
                <w:rFonts w:ascii="Gill Sans MT" w:hAnsi="Gill Sans MT"/>
                <w:sz w:val="22"/>
                <w:szCs w:val="22"/>
              </w:rPr>
              <w:t xml:space="preserve">Other rules were “noticed” for technical changes associated with online system – mostly title changes. </w:t>
            </w:r>
          </w:p>
          <w:p w14:paraId="38C4165B" w14:textId="77777777" w:rsidR="0054590E" w:rsidRDefault="0054590E" w:rsidP="00F229A6">
            <w:pPr>
              <w:tabs>
                <w:tab w:val="left" w:pos="-18"/>
              </w:tabs>
              <w:ind w:left="-18" w:firstLine="18"/>
              <w:rPr>
                <w:rFonts w:ascii="Gill Sans MT" w:hAnsi="Gill Sans MT"/>
                <w:sz w:val="22"/>
                <w:szCs w:val="22"/>
              </w:rPr>
            </w:pPr>
          </w:p>
          <w:p w14:paraId="214A2829" w14:textId="729974B3" w:rsidR="0054590E" w:rsidRDefault="0054590E" w:rsidP="00F229A6">
            <w:pPr>
              <w:tabs>
                <w:tab w:val="left" w:pos="-18"/>
              </w:tabs>
              <w:ind w:left="-18" w:firstLine="18"/>
              <w:rPr>
                <w:rFonts w:ascii="Gill Sans MT" w:hAnsi="Gill Sans MT"/>
                <w:sz w:val="22"/>
                <w:szCs w:val="22"/>
              </w:rPr>
            </w:pPr>
            <w:r>
              <w:rPr>
                <w:rFonts w:ascii="Gill Sans MT" w:hAnsi="Gill Sans MT"/>
                <w:sz w:val="22"/>
                <w:szCs w:val="22"/>
              </w:rPr>
              <w:lastRenderedPageBreak/>
              <w:t xml:space="preserve">Amendments to the edTPA implementation rule was also referred to public comment in November and will be considered for permanent adoption at this meeting. </w:t>
            </w:r>
          </w:p>
          <w:p w14:paraId="5FBD980E" w14:textId="77777777" w:rsidR="0054590E" w:rsidRDefault="0054590E" w:rsidP="00865088">
            <w:pPr>
              <w:tabs>
                <w:tab w:val="left" w:pos="-18"/>
              </w:tabs>
              <w:rPr>
                <w:rFonts w:ascii="Gill Sans MT" w:hAnsi="Gill Sans MT"/>
                <w:sz w:val="22"/>
                <w:szCs w:val="22"/>
              </w:rPr>
            </w:pPr>
          </w:p>
          <w:p w14:paraId="5E5F9659" w14:textId="023407D0" w:rsidR="00F229A6" w:rsidRDefault="00F229A6" w:rsidP="0054590E">
            <w:pPr>
              <w:tabs>
                <w:tab w:val="left" w:pos="-18"/>
              </w:tabs>
              <w:ind w:left="-18"/>
              <w:rPr>
                <w:rFonts w:ascii="Gill Sans MT" w:hAnsi="Gill Sans MT"/>
                <w:sz w:val="22"/>
                <w:szCs w:val="22"/>
              </w:rPr>
            </w:pPr>
            <w:r>
              <w:rPr>
                <w:rFonts w:ascii="Gill Sans MT" w:hAnsi="Gill Sans MT"/>
                <w:sz w:val="22"/>
                <w:szCs w:val="22"/>
              </w:rPr>
              <w:t>The rules were</w:t>
            </w:r>
            <w:r w:rsidR="002E276B">
              <w:rPr>
                <w:rFonts w:ascii="Gill Sans MT" w:hAnsi="Gill Sans MT"/>
                <w:sz w:val="22"/>
                <w:szCs w:val="22"/>
              </w:rPr>
              <w:t xml:space="preserve"> open for public comment from</w:t>
            </w:r>
            <w:r w:rsidR="0054590E">
              <w:rPr>
                <w:rFonts w:ascii="Gill Sans MT" w:hAnsi="Gill Sans MT"/>
                <w:sz w:val="22"/>
                <w:szCs w:val="22"/>
              </w:rPr>
              <w:t xml:space="preserve"> November 15, 2015 to January 15, 2016</w:t>
            </w:r>
            <w:r w:rsidR="002E276B">
              <w:rPr>
                <w:rFonts w:ascii="Gill Sans MT" w:hAnsi="Gill Sans MT"/>
                <w:sz w:val="22"/>
                <w:szCs w:val="22"/>
              </w:rPr>
              <w:t xml:space="preserve">.  Copies of the </w:t>
            </w:r>
            <w:r>
              <w:rPr>
                <w:rFonts w:ascii="Gill Sans MT" w:hAnsi="Gill Sans MT"/>
                <w:sz w:val="22"/>
                <w:szCs w:val="22"/>
              </w:rPr>
              <w:t xml:space="preserve">public comment </w:t>
            </w:r>
            <w:r w:rsidR="002E276B">
              <w:rPr>
                <w:rFonts w:ascii="Gill Sans MT" w:hAnsi="Gill Sans MT"/>
                <w:sz w:val="22"/>
                <w:szCs w:val="22"/>
              </w:rPr>
              <w:t xml:space="preserve">received </w:t>
            </w:r>
            <w:r>
              <w:rPr>
                <w:rFonts w:ascii="Gill Sans MT" w:hAnsi="Gill Sans MT"/>
                <w:sz w:val="22"/>
                <w:szCs w:val="22"/>
              </w:rPr>
              <w:t>are attached at the end of this memo.</w:t>
            </w:r>
          </w:p>
          <w:p w14:paraId="365DBFC6" w14:textId="77777777" w:rsidR="00865088" w:rsidRPr="00865088" w:rsidRDefault="00865088" w:rsidP="0054590E">
            <w:pPr>
              <w:tabs>
                <w:tab w:val="left" w:pos="-18"/>
              </w:tabs>
              <w:ind w:left="-18"/>
              <w:rPr>
                <w:rFonts w:ascii="Gill Sans MT" w:hAnsi="Gill Sans MT"/>
                <w:b/>
                <w:sz w:val="22"/>
                <w:szCs w:val="22"/>
              </w:rPr>
            </w:pPr>
          </w:p>
          <w:p w14:paraId="4592EAF1" w14:textId="304BFB7D" w:rsidR="00865088" w:rsidRPr="00865088" w:rsidRDefault="00865088" w:rsidP="0054590E">
            <w:pPr>
              <w:tabs>
                <w:tab w:val="left" w:pos="-18"/>
              </w:tabs>
              <w:ind w:left="-18"/>
              <w:rPr>
                <w:rFonts w:ascii="Gill Sans MT" w:hAnsi="Gill Sans MT"/>
                <w:b/>
                <w:sz w:val="22"/>
                <w:szCs w:val="22"/>
              </w:rPr>
            </w:pPr>
            <w:r w:rsidRPr="00865088">
              <w:rPr>
                <w:rFonts w:ascii="Gill Sans MT" w:hAnsi="Gill Sans MT"/>
                <w:b/>
                <w:sz w:val="22"/>
                <w:szCs w:val="22"/>
                <w:highlight w:val="yellow"/>
              </w:rPr>
              <w:t>Issues for Commission discussion:</w:t>
            </w:r>
          </w:p>
          <w:p w14:paraId="30ED996F" w14:textId="6E638368" w:rsidR="00D87511" w:rsidRPr="00D07B16" w:rsidRDefault="00D87511" w:rsidP="000E6697">
            <w:pPr>
              <w:tabs>
                <w:tab w:val="left" w:pos="-18"/>
              </w:tabs>
              <w:rPr>
                <w:rFonts w:asciiTheme="minorHAnsi" w:hAnsiTheme="minorHAnsi"/>
                <w:sz w:val="22"/>
                <w:szCs w:val="22"/>
              </w:rPr>
            </w:pPr>
          </w:p>
          <w:p w14:paraId="2925DA5E" w14:textId="07708F6A" w:rsidR="00D07B16" w:rsidRDefault="00D07B16" w:rsidP="00B0206F">
            <w:pPr>
              <w:pStyle w:val="ListParagraph"/>
              <w:numPr>
                <w:ilvl w:val="0"/>
                <w:numId w:val="4"/>
              </w:numPr>
              <w:tabs>
                <w:tab w:val="left" w:pos="-18"/>
              </w:tabs>
              <w:ind w:left="360"/>
              <w:rPr>
                <w:rStyle w:val="CommentReference"/>
                <w:rFonts w:asciiTheme="minorHAnsi" w:hAnsiTheme="minorHAnsi"/>
                <w:sz w:val="22"/>
                <w:szCs w:val="22"/>
              </w:rPr>
            </w:pPr>
            <w:r w:rsidRPr="00D07B16">
              <w:rPr>
                <w:rStyle w:val="CommentReference"/>
                <w:rFonts w:asciiTheme="minorHAnsi" w:hAnsiTheme="minorHAnsi"/>
                <w:sz w:val="22"/>
                <w:szCs w:val="22"/>
              </w:rPr>
              <w:t>Elimination of ESEA alternative route license and transition to Restricted Teaching License.</w:t>
            </w:r>
          </w:p>
          <w:p w14:paraId="00835FD1" w14:textId="64B2C3BE" w:rsidR="00D07B16" w:rsidRDefault="00D07B16" w:rsidP="00B0206F">
            <w:pPr>
              <w:pStyle w:val="ListParagraph"/>
              <w:numPr>
                <w:ilvl w:val="0"/>
                <w:numId w:val="4"/>
              </w:numPr>
              <w:tabs>
                <w:tab w:val="left" w:pos="-18"/>
              </w:tabs>
              <w:ind w:left="360"/>
              <w:rPr>
                <w:rFonts w:asciiTheme="minorHAnsi" w:hAnsiTheme="minorHAnsi"/>
                <w:sz w:val="22"/>
                <w:szCs w:val="22"/>
              </w:rPr>
            </w:pPr>
            <w:r w:rsidRPr="00D07B16">
              <w:rPr>
                <w:rFonts w:asciiTheme="minorHAnsi" w:hAnsiTheme="minorHAnsi"/>
                <w:sz w:val="22"/>
                <w:szCs w:val="22"/>
              </w:rPr>
              <w:t>Proposing changing the date to July 1 for edTPA deadline to respond to public testimony.</w:t>
            </w:r>
            <w:r w:rsidR="0075156E">
              <w:rPr>
                <w:rFonts w:asciiTheme="minorHAnsi" w:hAnsiTheme="minorHAnsi"/>
                <w:sz w:val="22"/>
                <w:szCs w:val="22"/>
              </w:rPr>
              <w:t>*</w:t>
            </w:r>
          </w:p>
          <w:p w14:paraId="22BDD94B" w14:textId="44BB9EA9" w:rsidR="00D07B16" w:rsidRPr="00D07B16" w:rsidRDefault="00D07B16" w:rsidP="00B0206F">
            <w:pPr>
              <w:tabs>
                <w:tab w:val="left" w:pos="-18"/>
              </w:tabs>
              <w:rPr>
                <w:rStyle w:val="CommentReference"/>
                <w:rFonts w:asciiTheme="minorHAnsi" w:hAnsiTheme="minorHAnsi"/>
                <w:sz w:val="22"/>
                <w:szCs w:val="22"/>
              </w:rPr>
            </w:pPr>
            <w:r>
              <w:rPr>
                <w:rFonts w:asciiTheme="minorHAnsi" w:hAnsiTheme="minorHAnsi"/>
                <w:i/>
                <w:sz w:val="22"/>
                <w:szCs w:val="22"/>
              </w:rPr>
              <w:t xml:space="preserve">              </w:t>
            </w:r>
            <w:r w:rsidRPr="00D07B16">
              <w:rPr>
                <w:rFonts w:asciiTheme="minorHAnsi" w:hAnsiTheme="minorHAnsi"/>
                <w:i/>
                <w:sz w:val="22"/>
                <w:szCs w:val="22"/>
              </w:rPr>
              <w:t>Please refer to public comment on this topic.</w:t>
            </w:r>
          </w:p>
          <w:p w14:paraId="5A47F6C5" w14:textId="5B984118" w:rsidR="00D07B16" w:rsidRPr="00D07B16" w:rsidRDefault="00D07B16" w:rsidP="00B0206F">
            <w:pPr>
              <w:pStyle w:val="ListParagraph"/>
              <w:numPr>
                <w:ilvl w:val="0"/>
                <w:numId w:val="4"/>
              </w:numPr>
              <w:tabs>
                <w:tab w:val="left" w:pos="-18"/>
              </w:tabs>
              <w:ind w:left="360"/>
              <w:rPr>
                <w:rFonts w:asciiTheme="minorHAnsi" w:hAnsiTheme="minorHAnsi"/>
                <w:sz w:val="22"/>
                <w:szCs w:val="22"/>
              </w:rPr>
            </w:pPr>
            <w:r w:rsidRPr="00D07B16">
              <w:rPr>
                <w:rFonts w:asciiTheme="minorHAnsi" w:hAnsiTheme="minorHAnsi"/>
                <w:sz w:val="22"/>
                <w:szCs w:val="22"/>
              </w:rPr>
              <w:t>Clarifying that “reinstatement” is now defined as the minute after the 120 days expires.</w:t>
            </w:r>
            <w:r w:rsidR="0075156E">
              <w:rPr>
                <w:rFonts w:asciiTheme="minorHAnsi" w:hAnsiTheme="minorHAnsi"/>
                <w:sz w:val="22"/>
                <w:szCs w:val="22"/>
              </w:rPr>
              <w:t>*</w:t>
            </w:r>
            <w:r w:rsidRPr="00D07B16">
              <w:rPr>
                <w:rFonts w:asciiTheme="minorHAnsi" w:hAnsiTheme="minorHAnsi"/>
                <w:sz w:val="22"/>
                <w:szCs w:val="22"/>
              </w:rPr>
              <w:t xml:space="preserve">  </w:t>
            </w:r>
          </w:p>
          <w:p w14:paraId="55CD5AB0" w14:textId="77777777" w:rsidR="00B0206F" w:rsidRDefault="00D07B16" w:rsidP="00B0206F">
            <w:pPr>
              <w:pStyle w:val="ListParagraph"/>
              <w:numPr>
                <w:ilvl w:val="0"/>
                <w:numId w:val="4"/>
              </w:numPr>
              <w:tabs>
                <w:tab w:val="left" w:pos="-18"/>
              </w:tabs>
              <w:ind w:left="360"/>
              <w:rPr>
                <w:rFonts w:asciiTheme="minorHAnsi" w:hAnsiTheme="minorHAnsi"/>
                <w:sz w:val="22"/>
                <w:szCs w:val="22"/>
              </w:rPr>
            </w:pPr>
            <w:r w:rsidRPr="00D07B16">
              <w:rPr>
                <w:rFonts w:asciiTheme="minorHAnsi" w:hAnsiTheme="minorHAnsi"/>
                <w:sz w:val="22"/>
                <w:szCs w:val="22"/>
              </w:rPr>
              <w:t xml:space="preserve">Does the Commission want to require World Language endorsement to qualify for Dual Language Specialization. </w:t>
            </w:r>
            <w:r w:rsidR="0075156E">
              <w:rPr>
                <w:rFonts w:asciiTheme="minorHAnsi" w:hAnsiTheme="minorHAnsi"/>
                <w:sz w:val="22"/>
                <w:szCs w:val="22"/>
              </w:rPr>
              <w:t>*</w:t>
            </w:r>
            <w:r w:rsidRPr="00D07B16">
              <w:rPr>
                <w:rFonts w:asciiTheme="minorHAnsi" w:hAnsiTheme="minorHAnsi"/>
                <w:sz w:val="22"/>
                <w:szCs w:val="22"/>
              </w:rPr>
              <w:t xml:space="preserve"> </w:t>
            </w:r>
          </w:p>
          <w:p w14:paraId="3FDC53DE" w14:textId="7B8528D4" w:rsidR="00D07B16" w:rsidRPr="00B0206F" w:rsidRDefault="00B0206F" w:rsidP="00B0206F">
            <w:pPr>
              <w:tabs>
                <w:tab w:val="left" w:pos="-18"/>
              </w:tabs>
              <w:rPr>
                <w:rFonts w:asciiTheme="minorHAnsi" w:hAnsiTheme="minorHAnsi"/>
                <w:sz w:val="22"/>
                <w:szCs w:val="22"/>
              </w:rPr>
            </w:pPr>
            <w:r>
              <w:rPr>
                <w:rFonts w:asciiTheme="minorHAnsi" w:hAnsiTheme="minorHAnsi"/>
                <w:i/>
                <w:sz w:val="22"/>
                <w:szCs w:val="22"/>
              </w:rPr>
              <w:t xml:space="preserve">            </w:t>
            </w:r>
            <w:r w:rsidR="00D07B16" w:rsidRPr="00B0206F">
              <w:rPr>
                <w:rFonts w:asciiTheme="minorHAnsi" w:hAnsiTheme="minorHAnsi"/>
                <w:i/>
                <w:sz w:val="22"/>
                <w:szCs w:val="22"/>
              </w:rPr>
              <w:t>Please refer to public comment on this topic.</w:t>
            </w:r>
          </w:p>
          <w:p w14:paraId="381D490F" w14:textId="2F7E625B" w:rsidR="00D07B16" w:rsidRPr="00D07B16" w:rsidRDefault="00D07B16" w:rsidP="00B0206F">
            <w:pPr>
              <w:pStyle w:val="ListParagraph"/>
              <w:numPr>
                <w:ilvl w:val="0"/>
                <w:numId w:val="4"/>
              </w:numPr>
              <w:tabs>
                <w:tab w:val="left" w:pos="-18"/>
              </w:tabs>
              <w:ind w:left="360"/>
              <w:rPr>
                <w:rFonts w:asciiTheme="minorHAnsi" w:hAnsiTheme="minorHAnsi"/>
                <w:sz w:val="22"/>
                <w:szCs w:val="22"/>
              </w:rPr>
            </w:pPr>
            <w:r>
              <w:rPr>
                <w:rFonts w:asciiTheme="minorHAnsi" w:hAnsiTheme="minorHAnsi"/>
                <w:sz w:val="22"/>
                <w:szCs w:val="22"/>
              </w:rPr>
              <w:t>Clarifying</w:t>
            </w:r>
            <w:r w:rsidRPr="00D07B16">
              <w:rPr>
                <w:rFonts w:asciiTheme="minorHAnsi" w:hAnsiTheme="minorHAnsi"/>
                <w:sz w:val="22"/>
                <w:szCs w:val="22"/>
              </w:rPr>
              <w:t xml:space="preserve"> who is eligible for International Visiting Teaching License.</w:t>
            </w:r>
            <w:r w:rsidR="0075156E">
              <w:rPr>
                <w:rFonts w:asciiTheme="minorHAnsi" w:hAnsiTheme="minorHAnsi"/>
                <w:sz w:val="22"/>
                <w:szCs w:val="22"/>
              </w:rPr>
              <w:t xml:space="preserve">  Allowing State Department approved exchange programs*</w:t>
            </w:r>
          </w:p>
          <w:p w14:paraId="53E922E9" w14:textId="1B9794EF" w:rsidR="00D07B16" w:rsidRPr="00D07B16" w:rsidRDefault="00D07B16" w:rsidP="00B0206F">
            <w:pPr>
              <w:pStyle w:val="ListParagraph"/>
              <w:numPr>
                <w:ilvl w:val="0"/>
                <w:numId w:val="4"/>
              </w:numPr>
              <w:tabs>
                <w:tab w:val="left" w:pos="-18"/>
              </w:tabs>
              <w:ind w:left="360"/>
              <w:rPr>
                <w:rFonts w:asciiTheme="minorHAnsi" w:hAnsiTheme="minorHAnsi"/>
                <w:sz w:val="22"/>
                <w:szCs w:val="22"/>
              </w:rPr>
            </w:pPr>
            <w:r w:rsidRPr="00D07B16">
              <w:rPr>
                <w:rFonts w:asciiTheme="minorHAnsi" w:hAnsiTheme="minorHAnsi"/>
                <w:sz w:val="22"/>
                <w:szCs w:val="22"/>
              </w:rPr>
              <w:t xml:space="preserve">Can a teacher leader be reinstated if </w:t>
            </w:r>
            <w:r>
              <w:rPr>
                <w:rFonts w:asciiTheme="minorHAnsi" w:hAnsiTheme="minorHAnsi"/>
                <w:sz w:val="22"/>
                <w:szCs w:val="22"/>
              </w:rPr>
              <w:t xml:space="preserve">tries to reinstate </w:t>
            </w:r>
            <w:r w:rsidRPr="00D07B16">
              <w:rPr>
                <w:rFonts w:asciiTheme="minorHAnsi" w:hAnsiTheme="minorHAnsi"/>
                <w:sz w:val="22"/>
                <w:szCs w:val="22"/>
              </w:rPr>
              <w:t>after 120 day grace period but before one year expired?</w:t>
            </w:r>
            <w:r w:rsidR="00434DFC">
              <w:rPr>
                <w:rFonts w:asciiTheme="minorHAnsi" w:hAnsiTheme="minorHAnsi"/>
                <w:sz w:val="22"/>
                <w:szCs w:val="22"/>
              </w:rPr>
              <w:t>*</w:t>
            </w:r>
          </w:p>
          <w:p w14:paraId="2F154E17" w14:textId="21396227" w:rsidR="00D07B16" w:rsidRPr="00D07B16" w:rsidRDefault="00A627EE" w:rsidP="00B0206F">
            <w:pPr>
              <w:pStyle w:val="ListParagraph"/>
              <w:numPr>
                <w:ilvl w:val="0"/>
                <w:numId w:val="4"/>
              </w:numPr>
              <w:tabs>
                <w:tab w:val="left" w:pos="-18"/>
              </w:tabs>
              <w:ind w:left="360"/>
              <w:rPr>
                <w:rFonts w:asciiTheme="minorHAnsi" w:hAnsiTheme="minorHAnsi"/>
                <w:sz w:val="22"/>
                <w:szCs w:val="22"/>
              </w:rPr>
            </w:pPr>
            <w:r>
              <w:rPr>
                <w:rFonts w:asciiTheme="minorHAnsi" w:hAnsiTheme="minorHAnsi"/>
                <w:sz w:val="22"/>
                <w:szCs w:val="22"/>
              </w:rPr>
              <w:t>Can</w:t>
            </w:r>
            <w:r w:rsidR="00D07B16" w:rsidRPr="00D07B16">
              <w:rPr>
                <w:rFonts w:asciiTheme="minorHAnsi" w:hAnsiTheme="minorHAnsi"/>
                <w:sz w:val="22"/>
                <w:szCs w:val="22"/>
              </w:rPr>
              <w:t xml:space="preserve"> </w:t>
            </w:r>
            <w:r>
              <w:rPr>
                <w:rFonts w:asciiTheme="minorHAnsi" w:hAnsiTheme="minorHAnsi"/>
                <w:sz w:val="22"/>
                <w:szCs w:val="22"/>
              </w:rPr>
              <w:t>an educator, who</w:t>
            </w:r>
            <w:r w:rsidR="00D07B16" w:rsidRPr="00D07B16">
              <w:rPr>
                <w:rFonts w:asciiTheme="minorHAnsi" w:hAnsiTheme="minorHAnsi"/>
                <w:sz w:val="22"/>
                <w:szCs w:val="22"/>
              </w:rPr>
              <w:t xml:space="preserve"> </w:t>
            </w:r>
            <w:r>
              <w:rPr>
                <w:rFonts w:asciiTheme="minorHAnsi" w:hAnsiTheme="minorHAnsi"/>
                <w:sz w:val="22"/>
                <w:szCs w:val="22"/>
              </w:rPr>
              <w:t xml:space="preserve">currently holds another TSPC license, reinstate another TSPC expired license without completing additional PDUs or paying reinstatement fee? This is current practice.  </w:t>
            </w:r>
            <w:r w:rsidR="00D07B16" w:rsidRPr="00D07B16">
              <w:rPr>
                <w:rFonts w:asciiTheme="minorHAnsi" w:hAnsiTheme="minorHAnsi"/>
                <w:sz w:val="22"/>
                <w:szCs w:val="22"/>
              </w:rPr>
              <w:t>Only applies if currently holding a license that requires PDUs for renewal.</w:t>
            </w:r>
            <w:r w:rsidR="00434DFC">
              <w:rPr>
                <w:rFonts w:asciiTheme="minorHAnsi" w:hAnsiTheme="minorHAnsi"/>
                <w:sz w:val="22"/>
                <w:szCs w:val="22"/>
              </w:rPr>
              <w:t>*</w:t>
            </w:r>
          </w:p>
          <w:p w14:paraId="4DED289F" w14:textId="31773707" w:rsidR="00D07B16" w:rsidRPr="00D07B16" w:rsidRDefault="00D07B16" w:rsidP="00B0206F">
            <w:pPr>
              <w:pStyle w:val="ListParagraph"/>
              <w:numPr>
                <w:ilvl w:val="0"/>
                <w:numId w:val="4"/>
              </w:numPr>
              <w:tabs>
                <w:tab w:val="left" w:pos="-18"/>
              </w:tabs>
              <w:ind w:left="360"/>
              <w:rPr>
                <w:rFonts w:asciiTheme="minorHAnsi" w:hAnsiTheme="minorHAnsi"/>
                <w:sz w:val="22"/>
                <w:szCs w:val="22"/>
              </w:rPr>
            </w:pPr>
            <w:r w:rsidRPr="00D07B16">
              <w:rPr>
                <w:rFonts w:asciiTheme="minorHAnsi" w:hAnsiTheme="minorHAnsi"/>
                <w:sz w:val="22"/>
                <w:szCs w:val="22"/>
              </w:rPr>
              <w:t>How recent to the PDUs have to be to qualify for reinstatement PDUs</w:t>
            </w:r>
            <w:r w:rsidR="00A627EE">
              <w:rPr>
                <w:rFonts w:asciiTheme="minorHAnsi" w:hAnsiTheme="minorHAnsi"/>
                <w:sz w:val="22"/>
                <w:szCs w:val="22"/>
              </w:rPr>
              <w:t>? Proposed rule says five years.</w:t>
            </w:r>
            <w:r w:rsidR="00434DFC">
              <w:rPr>
                <w:rFonts w:asciiTheme="minorHAnsi" w:hAnsiTheme="minorHAnsi"/>
                <w:sz w:val="22"/>
                <w:szCs w:val="22"/>
              </w:rPr>
              <w:t>*</w:t>
            </w:r>
            <w:r w:rsidR="00A627EE">
              <w:rPr>
                <w:rFonts w:asciiTheme="minorHAnsi" w:hAnsiTheme="minorHAnsi"/>
                <w:sz w:val="22"/>
                <w:szCs w:val="22"/>
              </w:rPr>
              <w:t xml:space="preserve"> </w:t>
            </w:r>
          </w:p>
          <w:p w14:paraId="65066ABF" w14:textId="0B9BBD2D" w:rsidR="00D07B16" w:rsidRDefault="00A627EE" w:rsidP="00B0206F">
            <w:pPr>
              <w:pStyle w:val="ListParagraph"/>
              <w:numPr>
                <w:ilvl w:val="0"/>
                <w:numId w:val="4"/>
              </w:numPr>
              <w:tabs>
                <w:tab w:val="left" w:pos="-18"/>
              </w:tabs>
              <w:ind w:left="360"/>
              <w:rPr>
                <w:rFonts w:asciiTheme="minorHAnsi" w:hAnsiTheme="minorHAnsi"/>
                <w:sz w:val="22"/>
                <w:szCs w:val="22"/>
              </w:rPr>
            </w:pPr>
            <w:r>
              <w:rPr>
                <w:rFonts w:asciiTheme="minorHAnsi" w:hAnsiTheme="minorHAnsi"/>
                <w:sz w:val="22"/>
                <w:szCs w:val="22"/>
              </w:rPr>
              <w:t xml:space="preserve">Should charter school registry teachers be able to have an endorsement listed on their registration without completing endorsement requirements?  Can they add even if they complete requirements -- or do we want to prohibit endorsements to be added in all cases. </w:t>
            </w:r>
          </w:p>
          <w:p w14:paraId="2CD90B1B" w14:textId="77777777" w:rsidR="00A9594D" w:rsidRPr="00A9594D" w:rsidRDefault="00A9594D" w:rsidP="00A9594D">
            <w:pPr>
              <w:tabs>
                <w:tab w:val="left" w:pos="-18"/>
              </w:tabs>
              <w:rPr>
                <w:rFonts w:asciiTheme="minorHAnsi" w:hAnsiTheme="minorHAnsi"/>
                <w:sz w:val="18"/>
                <w:szCs w:val="18"/>
              </w:rPr>
            </w:pPr>
          </w:p>
          <w:p w14:paraId="15D8FF24" w14:textId="3EA0E34B" w:rsidR="00A9594D" w:rsidRPr="007D3480" w:rsidRDefault="00D53A65" w:rsidP="00A9594D">
            <w:pPr>
              <w:tabs>
                <w:tab w:val="left" w:pos="-18"/>
              </w:tabs>
              <w:ind w:firstLine="18"/>
              <w:rPr>
                <w:rFonts w:ascii="Gill Sans MT" w:hAnsi="Gill Sans MT"/>
                <w:sz w:val="24"/>
                <w:szCs w:val="24"/>
              </w:rPr>
            </w:pPr>
            <w:hyperlink r:id="rId7" w:history="1">
              <w:r w:rsidR="00A9594D" w:rsidRPr="007D3480">
                <w:rPr>
                  <w:rStyle w:val="Hyperlink"/>
                  <w:rFonts w:ascii="Gill Sans MT" w:hAnsi="Gill Sans MT"/>
                  <w:sz w:val="24"/>
                  <w:szCs w:val="24"/>
                </w:rPr>
                <w:t>2.1a Public Comment</w:t>
              </w:r>
            </w:hyperlink>
          </w:p>
          <w:p w14:paraId="40C0CD89" w14:textId="27EDDC0A" w:rsidR="00A9594D" w:rsidRPr="007D3480" w:rsidRDefault="00D53A65" w:rsidP="00A9594D">
            <w:pPr>
              <w:tabs>
                <w:tab w:val="left" w:pos="-18"/>
              </w:tabs>
              <w:ind w:firstLine="18"/>
              <w:rPr>
                <w:rFonts w:ascii="Gill Sans MT" w:hAnsi="Gill Sans MT"/>
                <w:sz w:val="24"/>
                <w:szCs w:val="24"/>
              </w:rPr>
            </w:pPr>
            <w:hyperlink r:id="rId8" w:history="1">
              <w:r w:rsidR="00A9594D" w:rsidRPr="007D3480">
                <w:rPr>
                  <w:rStyle w:val="Hyperlink"/>
                  <w:rFonts w:ascii="Gill Sans MT" w:hAnsi="Gill Sans MT"/>
                  <w:sz w:val="24"/>
                  <w:szCs w:val="24"/>
                </w:rPr>
                <w:t>2.1b Public Comment</w:t>
              </w:r>
            </w:hyperlink>
          </w:p>
          <w:p w14:paraId="3F99E938" w14:textId="356C0A15" w:rsidR="00A9594D" w:rsidRPr="007D3480" w:rsidRDefault="00D53A65" w:rsidP="00A9594D">
            <w:pPr>
              <w:tabs>
                <w:tab w:val="left" w:pos="-18"/>
              </w:tabs>
              <w:ind w:firstLine="18"/>
              <w:rPr>
                <w:rFonts w:ascii="Gill Sans MT" w:hAnsi="Gill Sans MT"/>
                <w:sz w:val="24"/>
                <w:szCs w:val="24"/>
              </w:rPr>
            </w:pPr>
            <w:hyperlink r:id="rId9" w:history="1">
              <w:r w:rsidR="00A9594D" w:rsidRPr="007D3480">
                <w:rPr>
                  <w:rStyle w:val="Hyperlink"/>
                  <w:rFonts w:ascii="Gill Sans MT" w:hAnsi="Gill Sans MT"/>
                  <w:sz w:val="24"/>
                  <w:szCs w:val="24"/>
                </w:rPr>
                <w:t>2.1c Public Comment</w:t>
              </w:r>
            </w:hyperlink>
          </w:p>
          <w:p w14:paraId="0E94EB21" w14:textId="22F414A7" w:rsidR="00A9594D" w:rsidRPr="007D3480" w:rsidRDefault="00D53A65" w:rsidP="00A9594D">
            <w:pPr>
              <w:tabs>
                <w:tab w:val="left" w:pos="-18"/>
              </w:tabs>
              <w:ind w:firstLine="18"/>
              <w:rPr>
                <w:rFonts w:ascii="Gill Sans MT" w:hAnsi="Gill Sans MT"/>
                <w:sz w:val="24"/>
                <w:szCs w:val="24"/>
              </w:rPr>
            </w:pPr>
            <w:hyperlink r:id="rId10" w:history="1">
              <w:r w:rsidR="00A9594D" w:rsidRPr="007D3480">
                <w:rPr>
                  <w:rStyle w:val="Hyperlink"/>
                  <w:rFonts w:ascii="Gill Sans MT" w:hAnsi="Gill Sans MT"/>
                  <w:sz w:val="24"/>
                  <w:szCs w:val="24"/>
                </w:rPr>
                <w:t>2.1d Public Comment</w:t>
              </w:r>
            </w:hyperlink>
          </w:p>
          <w:p w14:paraId="020D060B" w14:textId="084C4899" w:rsidR="00A9594D" w:rsidRPr="007D3480" w:rsidRDefault="00D53A65" w:rsidP="00A9594D">
            <w:pPr>
              <w:tabs>
                <w:tab w:val="left" w:pos="-18"/>
              </w:tabs>
              <w:ind w:firstLine="18"/>
              <w:rPr>
                <w:rFonts w:ascii="Gill Sans MT" w:hAnsi="Gill Sans MT"/>
                <w:sz w:val="24"/>
                <w:szCs w:val="24"/>
              </w:rPr>
            </w:pPr>
            <w:hyperlink r:id="rId11" w:history="1">
              <w:r w:rsidR="00A9594D" w:rsidRPr="007D3480">
                <w:rPr>
                  <w:rStyle w:val="Hyperlink"/>
                  <w:rFonts w:ascii="Gill Sans MT" w:hAnsi="Gill Sans MT"/>
                  <w:sz w:val="24"/>
                  <w:szCs w:val="24"/>
                </w:rPr>
                <w:t>2.1e Public Comment</w:t>
              </w:r>
            </w:hyperlink>
          </w:p>
          <w:p w14:paraId="48AD7830" w14:textId="61F6869F" w:rsidR="00A9594D" w:rsidRPr="007D3480" w:rsidRDefault="00D53A65" w:rsidP="00A9594D">
            <w:pPr>
              <w:tabs>
                <w:tab w:val="left" w:pos="-18"/>
              </w:tabs>
              <w:ind w:firstLine="18"/>
              <w:rPr>
                <w:rFonts w:ascii="Gill Sans MT" w:hAnsi="Gill Sans MT"/>
                <w:sz w:val="24"/>
                <w:szCs w:val="24"/>
              </w:rPr>
            </w:pPr>
            <w:hyperlink r:id="rId12" w:history="1">
              <w:r w:rsidR="00A9594D" w:rsidRPr="007D3480">
                <w:rPr>
                  <w:rStyle w:val="Hyperlink"/>
                  <w:rFonts w:ascii="Gill Sans MT" w:hAnsi="Gill Sans MT"/>
                  <w:sz w:val="24"/>
                  <w:szCs w:val="24"/>
                </w:rPr>
                <w:t>2.1f Public Comment</w:t>
              </w:r>
            </w:hyperlink>
          </w:p>
          <w:p w14:paraId="46BA2996" w14:textId="2BBE8BF9" w:rsidR="007D3480" w:rsidRPr="00D53A65" w:rsidRDefault="00D53A65" w:rsidP="007D3480">
            <w:pPr>
              <w:tabs>
                <w:tab w:val="left" w:pos="-18"/>
              </w:tabs>
              <w:ind w:left="18"/>
              <w:rPr>
                <w:rStyle w:val="Hyperlink"/>
                <w:rFonts w:ascii="Gill Sans MT" w:hAnsi="Gill Sans MT"/>
                <w:sz w:val="24"/>
                <w:szCs w:val="24"/>
              </w:rPr>
            </w:pPr>
            <w:r>
              <w:rPr>
                <w:rFonts w:ascii="Gill Sans MT" w:hAnsi="Gill Sans MT"/>
                <w:sz w:val="24"/>
                <w:szCs w:val="24"/>
              </w:rPr>
              <w:fldChar w:fldCharType="begin"/>
            </w:r>
            <w:r>
              <w:rPr>
                <w:rFonts w:ascii="Gill Sans MT" w:hAnsi="Gill Sans MT"/>
                <w:sz w:val="24"/>
                <w:szCs w:val="24"/>
              </w:rPr>
              <w:instrText xml:space="preserve"> HYPERLINK "http://www.tspc.state.or.us/meetings/january2016/2.1g.docx" </w:instrText>
            </w:r>
            <w:r>
              <w:rPr>
                <w:rFonts w:ascii="Gill Sans MT" w:hAnsi="Gill Sans MT"/>
                <w:sz w:val="24"/>
                <w:szCs w:val="24"/>
              </w:rPr>
            </w:r>
            <w:r>
              <w:rPr>
                <w:rFonts w:ascii="Gill Sans MT" w:hAnsi="Gill Sans MT"/>
                <w:sz w:val="24"/>
                <w:szCs w:val="24"/>
              </w:rPr>
              <w:fldChar w:fldCharType="separate"/>
            </w:r>
            <w:r w:rsidR="00A9594D" w:rsidRPr="00D53A65">
              <w:rPr>
                <w:rStyle w:val="Hyperlink"/>
                <w:rFonts w:ascii="Gill Sans MT" w:hAnsi="Gill Sans MT"/>
                <w:sz w:val="24"/>
                <w:szCs w:val="24"/>
              </w:rPr>
              <w:t>2.1g Timeline of Redesign/Rulemaking</w:t>
            </w:r>
          </w:p>
          <w:p w14:paraId="370051EE" w14:textId="68BF45A6" w:rsidR="007D3480" w:rsidRPr="007D3480" w:rsidRDefault="00D53A65" w:rsidP="007D3480">
            <w:pPr>
              <w:tabs>
                <w:tab w:val="left" w:pos="-18"/>
              </w:tabs>
              <w:ind w:left="18"/>
              <w:rPr>
                <w:rFonts w:ascii="Gill Sans MT" w:hAnsi="Gill Sans MT"/>
                <w:sz w:val="24"/>
                <w:szCs w:val="24"/>
              </w:rPr>
            </w:pPr>
            <w:r>
              <w:rPr>
                <w:rFonts w:ascii="Gill Sans MT" w:hAnsi="Gill Sans MT"/>
                <w:sz w:val="24"/>
                <w:szCs w:val="24"/>
              </w:rPr>
              <w:fldChar w:fldCharType="end"/>
            </w:r>
            <w:bookmarkStart w:id="0" w:name="_GoBack"/>
            <w:bookmarkEnd w:id="0"/>
            <w:r>
              <w:fldChar w:fldCharType="begin"/>
            </w:r>
            <w:r>
              <w:instrText xml:space="preserve"> HYPERLINK "http://www.tspc.state.or.us/meetings/ja</w:instrText>
            </w:r>
            <w:r>
              <w:instrText xml:space="preserve">nuary2016/2.1h.docx" </w:instrText>
            </w:r>
            <w:r>
              <w:fldChar w:fldCharType="separate"/>
            </w:r>
            <w:r w:rsidR="007D3480" w:rsidRPr="007D3480">
              <w:rPr>
                <w:rStyle w:val="Hyperlink"/>
                <w:rFonts w:ascii="Gill Sans MT" w:hAnsi="Gill Sans MT"/>
                <w:sz w:val="24"/>
                <w:szCs w:val="24"/>
              </w:rPr>
              <w:t>2.1h Copy of Permanent Rules for Adoption</w:t>
            </w:r>
            <w:r>
              <w:rPr>
                <w:rStyle w:val="Hyperlink"/>
                <w:rFonts w:ascii="Gill Sans MT" w:hAnsi="Gill Sans MT"/>
                <w:sz w:val="24"/>
                <w:szCs w:val="24"/>
              </w:rPr>
              <w:fldChar w:fldCharType="end"/>
            </w:r>
            <w:r w:rsidR="007D3480">
              <w:rPr>
                <w:rFonts w:ascii="Gill Sans MT" w:hAnsi="Gill Sans MT"/>
                <w:sz w:val="24"/>
                <w:szCs w:val="24"/>
              </w:rPr>
              <w:t xml:space="preserve"> </w:t>
            </w:r>
          </w:p>
          <w:p w14:paraId="1D8BC388" w14:textId="77777777" w:rsidR="00A9594D" w:rsidRPr="00A9594D" w:rsidRDefault="00A9594D" w:rsidP="0075156E">
            <w:pPr>
              <w:pStyle w:val="ListParagraph"/>
              <w:tabs>
                <w:tab w:val="left" w:pos="-18"/>
              </w:tabs>
              <w:rPr>
                <w:rFonts w:asciiTheme="minorHAnsi" w:hAnsiTheme="minorHAnsi"/>
                <w:sz w:val="18"/>
                <w:szCs w:val="18"/>
              </w:rPr>
            </w:pPr>
          </w:p>
          <w:p w14:paraId="390C30FB" w14:textId="288AFD94" w:rsidR="0075156E" w:rsidRPr="00A9594D" w:rsidRDefault="0075156E" w:rsidP="0075156E">
            <w:pPr>
              <w:tabs>
                <w:tab w:val="left" w:pos="-18"/>
              </w:tabs>
              <w:ind w:left="360"/>
              <w:rPr>
                <w:rFonts w:asciiTheme="minorHAnsi" w:hAnsiTheme="minorHAnsi"/>
                <w:sz w:val="18"/>
                <w:szCs w:val="18"/>
              </w:rPr>
            </w:pPr>
            <w:r w:rsidRPr="00A9594D">
              <w:rPr>
                <w:rFonts w:asciiTheme="minorHAnsi" w:hAnsiTheme="minorHAnsi"/>
                <w:sz w:val="18"/>
                <w:szCs w:val="18"/>
              </w:rPr>
              <w:t xml:space="preserve">*Please refer to rule language at the end of this document. </w:t>
            </w:r>
          </w:p>
          <w:p w14:paraId="6CC292EE" w14:textId="77777777" w:rsidR="00D07B16" w:rsidRDefault="00D07B16" w:rsidP="00991BA8">
            <w:pPr>
              <w:tabs>
                <w:tab w:val="left" w:pos="-18"/>
              </w:tabs>
              <w:ind w:left="-18" w:firstLine="18"/>
              <w:rPr>
                <w:rFonts w:ascii="Gill Sans MT" w:hAnsi="Gill Sans MT"/>
                <w:sz w:val="22"/>
                <w:szCs w:val="22"/>
              </w:rPr>
            </w:pPr>
          </w:p>
          <w:p w14:paraId="0A20341E" w14:textId="77777777" w:rsidR="00A627EE" w:rsidRDefault="00A627EE" w:rsidP="00991BA8">
            <w:pPr>
              <w:tabs>
                <w:tab w:val="left" w:pos="-18"/>
              </w:tabs>
              <w:ind w:left="-18" w:firstLine="18"/>
              <w:rPr>
                <w:rFonts w:ascii="Gill Sans MT" w:hAnsi="Gill Sans MT"/>
                <w:sz w:val="22"/>
                <w:szCs w:val="22"/>
              </w:rPr>
            </w:pPr>
          </w:p>
          <w:p w14:paraId="107C2091" w14:textId="77777777" w:rsidR="00A627EE" w:rsidRDefault="00A627EE" w:rsidP="00991BA8">
            <w:pPr>
              <w:tabs>
                <w:tab w:val="left" w:pos="-18"/>
              </w:tabs>
              <w:ind w:left="-18" w:firstLine="18"/>
              <w:rPr>
                <w:rFonts w:ascii="Gill Sans MT" w:hAnsi="Gill Sans MT"/>
                <w:sz w:val="22"/>
                <w:szCs w:val="22"/>
              </w:rPr>
            </w:pPr>
          </w:p>
          <w:p w14:paraId="04FA20F6" w14:textId="77777777" w:rsidR="00A627EE" w:rsidRDefault="00A627EE" w:rsidP="00991BA8">
            <w:pPr>
              <w:tabs>
                <w:tab w:val="left" w:pos="-18"/>
              </w:tabs>
              <w:ind w:left="-18" w:firstLine="18"/>
              <w:rPr>
                <w:rFonts w:ascii="Gill Sans MT" w:hAnsi="Gill Sans MT"/>
                <w:sz w:val="22"/>
                <w:szCs w:val="22"/>
              </w:rPr>
            </w:pPr>
          </w:p>
          <w:p w14:paraId="0ACF3F62" w14:textId="77777777" w:rsidR="00A627EE" w:rsidRDefault="00A627EE" w:rsidP="00991BA8">
            <w:pPr>
              <w:tabs>
                <w:tab w:val="left" w:pos="-18"/>
              </w:tabs>
              <w:ind w:left="-18" w:firstLine="18"/>
              <w:rPr>
                <w:rFonts w:ascii="Gill Sans MT" w:hAnsi="Gill Sans MT"/>
                <w:sz w:val="22"/>
                <w:szCs w:val="22"/>
              </w:rPr>
            </w:pPr>
          </w:p>
          <w:p w14:paraId="0DEBC764" w14:textId="5996E27F" w:rsidR="00B84C9E" w:rsidRPr="00E71B95" w:rsidRDefault="00B84C9E" w:rsidP="00991BA8">
            <w:pPr>
              <w:tabs>
                <w:tab w:val="left" w:pos="-18"/>
              </w:tabs>
              <w:ind w:left="-18" w:firstLine="18"/>
              <w:rPr>
                <w:rFonts w:ascii="Gill Sans MT" w:hAnsi="Gill Sans MT"/>
                <w:sz w:val="22"/>
                <w:szCs w:val="22"/>
              </w:rPr>
            </w:pPr>
          </w:p>
        </w:tc>
      </w:tr>
      <w:tr w:rsidR="000E6697" w:rsidRPr="00412278" w14:paraId="5D91392F" w14:textId="77777777" w:rsidTr="00A9594D">
        <w:trPr>
          <w:trHeight w:val="1704"/>
        </w:trPr>
        <w:tc>
          <w:tcPr>
            <w:tcW w:w="2730" w:type="dxa"/>
          </w:tcPr>
          <w:p w14:paraId="6444265F" w14:textId="448D5D9A" w:rsidR="000E6697" w:rsidRPr="00E71B95" w:rsidRDefault="000E6697" w:rsidP="003C669C">
            <w:pPr>
              <w:tabs>
                <w:tab w:val="left" w:pos="2610"/>
              </w:tabs>
              <w:rPr>
                <w:rFonts w:ascii="Gill Sans MT" w:hAnsi="Gill Sans MT"/>
                <w:sz w:val="24"/>
                <w:szCs w:val="24"/>
              </w:rPr>
            </w:pPr>
          </w:p>
        </w:tc>
        <w:tc>
          <w:tcPr>
            <w:tcW w:w="6491" w:type="dxa"/>
            <w:gridSpan w:val="2"/>
          </w:tcPr>
          <w:p w14:paraId="2580E9AC" w14:textId="353A2A54" w:rsidR="000E6697" w:rsidRDefault="00A9594D" w:rsidP="00104458">
            <w:pPr>
              <w:tabs>
                <w:tab w:val="left" w:pos="-18"/>
              </w:tabs>
              <w:rPr>
                <w:rFonts w:ascii="Gill Sans MT" w:hAnsi="Gill Sans MT"/>
                <w:sz w:val="22"/>
                <w:szCs w:val="22"/>
              </w:rPr>
            </w:pPr>
            <w:r w:rsidRPr="00E71B95">
              <w:rPr>
                <w:rFonts w:ascii="Gill Sans MT" w:hAnsi="Gill Sans MT"/>
                <w:sz w:val="22"/>
                <w:szCs w:val="22"/>
              </w:rPr>
              <w:t>The list of permanen</w:t>
            </w:r>
            <w:r>
              <w:rPr>
                <w:rFonts w:ascii="Gill Sans MT" w:hAnsi="Gill Sans MT"/>
                <w:sz w:val="22"/>
                <w:szCs w:val="22"/>
              </w:rPr>
              <w:t>t rules for adoption is found in the following tables.</w:t>
            </w:r>
          </w:p>
        </w:tc>
      </w:tr>
    </w:tbl>
    <w:p w14:paraId="039B301D" w14:textId="368DCA8F" w:rsidR="00865088" w:rsidRDefault="00865088" w:rsidP="00942E55">
      <w:pPr>
        <w:spacing w:after="160" w:line="259" w:lineRule="auto"/>
        <w:rPr>
          <w:rFonts w:ascii="Calibri" w:eastAsia="Calibri" w:hAnsi="Calibri"/>
          <w:b/>
          <w:sz w:val="22"/>
          <w:szCs w:val="22"/>
        </w:rPr>
      </w:pPr>
    </w:p>
    <w:tbl>
      <w:tblPr>
        <w:tblStyle w:val="TableGrid"/>
        <w:tblW w:w="9764" w:type="dxa"/>
        <w:jc w:val="center"/>
        <w:tblLook w:val="04A0" w:firstRow="1" w:lastRow="0" w:firstColumn="1" w:lastColumn="0" w:noHBand="0" w:noVBand="1"/>
      </w:tblPr>
      <w:tblGrid>
        <w:gridCol w:w="1506"/>
        <w:gridCol w:w="1459"/>
        <w:gridCol w:w="1530"/>
        <w:gridCol w:w="1980"/>
        <w:gridCol w:w="1983"/>
        <w:gridCol w:w="1306"/>
      </w:tblGrid>
      <w:tr w:rsidR="00865088" w:rsidRPr="00A9594D" w14:paraId="2CFC4B89" w14:textId="77777777" w:rsidTr="00865088">
        <w:trPr>
          <w:trHeight w:val="432"/>
          <w:tblHeader/>
          <w:jc w:val="center"/>
        </w:trPr>
        <w:tc>
          <w:tcPr>
            <w:tcW w:w="9764" w:type="dxa"/>
            <w:gridSpan w:val="6"/>
            <w:shd w:val="clear" w:color="auto" w:fill="ED7D31" w:themeFill="accent2"/>
            <w:vAlign w:val="center"/>
          </w:tcPr>
          <w:p w14:paraId="73916C7F" w14:textId="77777777" w:rsidR="00865088" w:rsidRPr="00A9594D" w:rsidRDefault="00865088" w:rsidP="00865088">
            <w:pPr>
              <w:jc w:val="center"/>
              <w:rPr>
                <w:rFonts w:asciiTheme="minorHAnsi" w:hAnsiTheme="minorHAnsi" w:cs="Calibri"/>
                <w:b/>
                <w:color w:val="000000"/>
                <w:szCs w:val="22"/>
              </w:rPr>
            </w:pPr>
            <w:r w:rsidRPr="00A9594D">
              <w:rPr>
                <w:rFonts w:asciiTheme="minorHAnsi" w:hAnsiTheme="minorHAnsi" w:cs="Calibri"/>
                <w:b/>
                <w:color w:val="FFFFFF" w:themeColor="background1"/>
                <w:szCs w:val="22"/>
              </w:rPr>
              <w:t>PERMANENT RULES</w:t>
            </w:r>
          </w:p>
        </w:tc>
      </w:tr>
      <w:tr w:rsidR="00865088" w:rsidRPr="00A9594D" w14:paraId="227A8A98" w14:textId="77777777" w:rsidTr="00865088">
        <w:trPr>
          <w:trHeight w:val="432"/>
          <w:tblHeader/>
          <w:jc w:val="center"/>
        </w:trPr>
        <w:tc>
          <w:tcPr>
            <w:tcW w:w="1506" w:type="dxa"/>
            <w:shd w:val="clear" w:color="auto" w:fill="DEEAF6" w:themeFill="accent1" w:themeFillTint="33"/>
            <w:vAlign w:val="center"/>
          </w:tcPr>
          <w:p w14:paraId="65EA82EF" w14:textId="77777777" w:rsidR="00865088" w:rsidRPr="00A9594D" w:rsidRDefault="00865088" w:rsidP="00865088">
            <w:pPr>
              <w:jc w:val="center"/>
              <w:rPr>
                <w:rFonts w:asciiTheme="minorHAnsi" w:hAnsiTheme="minorHAnsi" w:cs="Calibri"/>
                <w:b/>
                <w:bCs/>
                <w:color w:val="000000"/>
                <w:szCs w:val="22"/>
              </w:rPr>
            </w:pPr>
            <w:r w:rsidRPr="00A9594D">
              <w:rPr>
                <w:rFonts w:asciiTheme="minorHAnsi" w:hAnsiTheme="minorHAnsi" w:cs="Calibri"/>
                <w:b/>
                <w:bCs/>
                <w:color w:val="000000"/>
                <w:szCs w:val="22"/>
              </w:rPr>
              <w:t>Program Area</w:t>
            </w:r>
          </w:p>
        </w:tc>
        <w:tc>
          <w:tcPr>
            <w:tcW w:w="1459" w:type="dxa"/>
            <w:shd w:val="clear" w:color="auto" w:fill="DEEAF6" w:themeFill="accent1" w:themeFillTint="33"/>
            <w:vAlign w:val="center"/>
          </w:tcPr>
          <w:p w14:paraId="70AE058E" w14:textId="77777777" w:rsidR="00865088" w:rsidRPr="00A9594D" w:rsidRDefault="00865088" w:rsidP="00865088">
            <w:pPr>
              <w:jc w:val="center"/>
              <w:rPr>
                <w:rFonts w:asciiTheme="minorHAnsi" w:hAnsiTheme="minorHAnsi" w:cs="Calibri"/>
                <w:b/>
                <w:bCs/>
                <w:color w:val="000000"/>
                <w:szCs w:val="22"/>
              </w:rPr>
            </w:pPr>
            <w:r w:rsidRPr="00A9594D">
              <w:rPr>
                <w:rFonts w:asciiTheme="minorHAnsi" w:hAnsiTheme="minorHAnsi" w:cs="Calibri"/>
                <w:b/>
                <w:bCs/>
                <w:color w:val="000000"/>
                <w:szCs w:val="22"/>
              </w:rPr>
              <w:t>Proposed Change</w:t>
            </w:r>
          </w:p>
        </w:tc>
        <w:tc>
          <w:tcPr>
            <w:tcW w:w="1530" w:type="dxa"/>
            <w:shd w:val="clear" w:color="auto" w:fill="DEEAF6" w:themeFill="accent1" w:themeFillTint="33"/>
            <w:noWrap/>
            <w:vAlign w:val="center"/>
          </w:tcPr>
          <w:p w14:paraId="5F1806A7" w14:textId="77777777" w:rsidR="00865088" w:rsidRPr="00A9594D" w:rsidRDefault="00865088" w:rsidP="00865088">
            <w:pPr>
              <w:jc w:val="center"/>
              <w:rPr>
                <w:rFonts w:asciiTheme="minorHAnsi" w:hAnsiTheme="minorHAnsi" w:cs="Calibri"/>
                <w:b/>
                <w:bCs/>
                <w:color w:val="000000"/>
                <w:szCs w:val="22"/>
              </w:rPr>
            </w:pPr>
            <w:r w:rsidRPr="00A9594D">
              <w:rPr>
                <w:rFonts w:asciiTheme="minorHAnsi" w:hAnsiTheme="minorHAnsi" w:cs="Calibri"/>
                <w:b/>
                <w:bCs/>
                <w:color w:val="000000"/>
                <w:szCs w:val="22"/>
              </w:rPr>
              <w:t>Rule Number</w:t>
            </w:r>
          </w:p>
        </w:tc>
        <w:tc>
          <w:tcPr>
            <w:tcW w:w="1980" w:type="dxa"/>
            <w:shd w:val="clear" w:color="auto" w:fill="DEEAF6" w:themeFill="accent1" w:themeFillTint="33"/>
            <w:vAlign w:val="center"/>
          </w:tcPr>
          <w:p w14:paraId="37C42E6D" w14:textId="77777777" w:rsidR="00865088" w:rsidRPr="00A9594D" w:rsidRDefault="00865088" w:rsidP="00865088">
            <w:pPr>
              <w:jc w:val="center"/>
              <w:rPr>
                <w:rFonts w:asciiTheme="minorHAnsi" w:hAnsiTheme="minorHAnsi" w:cs="Calibri"/>
                <w:b/>
                <w:color w:val="000000"/>
                <w:szCs w:val="22"/>
              </w:rPr>
            </w:pPr>
            <w:r w:rsidRPr="00A9594D">
              <w:rPr>
                <w:rFonts w:asciiTheme="minorHAnsi" w:hAnsiTheme="minorHAnsi" w:cs="Calibri"/>
                <w:b/>
                <w:color w:val="000000"/>
                <w:szCs w:val="22"/>
              </w:rPr>
              <w:t>Rule Title</w:t>
            </w:r>
          </w:p>
        </w:tc>
        <w:tc>
          <w:tcPr>
            <w:tcW w:w="1983" w:type="dxa"/>
            <w:shd w:val="clear" w:color="auto" w:fill="DEEAF6" w:themeFill="accent1" w:themeFillTint="33"/>
            <w:vAlign w:val="center"/>
          </w:tcPr>
          <w:p w14:paraId="7C35EBCD" w14:textId="77777777" w:rsidR="00865088" w:rsidRPr="00A9594D" w:rsidRDefault="00865088" w:rsidP="00865088">
            <w:pPr>
              <w:jc w:val="center"/>
              <w:rPr>
                <w:rFonts w:asciiTheme="minorHAnsi" w:hAnsiTheme="minorHAnsi" w:cs="Calibri"/>
                <w:b/>
                <w:color w:val="000000"/>
                <w:szCs w:val="22"/>
              </w:rPr>
            </w:pPr>
            <w:r w:rsidRPr="00A9594D">
              <w:rPr>
                <w:rFonts w:asciiTheme="minorHAnsi" w:hAnsiTheme="minorHAnsi" w:cs="Calibri"/>
                <w:b/>
                <w:color w:val="000000"/>
                <w:szCs w:val="22"/>
              </w:rPr>
              <w:t>Summary of Changes</w:t>
            </w:r>
          </w:p>
        </w:tc>
        <w:tc>
          <w:tcPr>
            <w:tcW w:w="1306" w:type="dxa"/>
            <w:shd w:val="clear" w:color="auto" w:fill="DEEAF6" w:themeFill="accent1" w:themeFillTint="33"/>
            <w:vAlign w:val="center"/>
          </w:tcPr>
          <w:p w14:paraId="3BA4205E" w14:textId="77777777" w:rsidR="00865088" w:rsidRPr="00A9594D" w:rsidRDefault="00865088" w:rsidP="00865088">
            <w:pPr>
              <w:jc w:val="center"/>
              <w:rPr>
                <w:rFonts w:asciiTheme="minorHAnsi" w:hAnsiTheme="minorHAnsi" w:cs="Calibri"/>
                <w:b/>
                <w:color w:val="000000"/>
                <w:szCs w:val="22"/>
              </w:rPr>
            </w:pPr>
            <w:r w:rsidRPr="00A9594D">
              <w:rPr>
                <w:rFonts w:asciiTheme="minorHAnsi" w:hAnsiTheme="minorHAnsi" w:cs="Calibri"/>
                <w:b/>
                <w:color w:val="000000"/>
                <w:szCs w:val="22"/>
              </w:rPr>
              <w:t>Proposed for Permanent Adoption</w:t>
            </w:r>
          </w:p>
        </w:tc>
      </w:tr>
      <w:tr w:rsidR="00865088" w:rsidRPr="00A9594D" w14:paraId="3AFDFD07" w14:textId="77777777" w:rsidTr="00B0206F">
        <w:trPr>
          <w:trHeight w:val="432"/>
          <w:jc w:val="center"/>
        </w:trPr>
        <w:tc>
          <w:tcPr>
            <w:tcW w:w="1506" w:type="dxa"/>
            <w:tcBorders>
              <w:top w:val="single" w:sz="24" w:space="0" w:color="auto"/>
            </w:tcBorders>
            <w:shd w:val="clear" w:color="auto" w:fill="auto"/>
            <w:vAlign w:val="center"/>
          </w:tcPr>
          <w:p w14:paraId="5223B7E5"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Program Approval</w:t>
            </w:r>
          </w:p>
        </w:tc>
        <w:tc>
          <w:tcPr>
            <w:tcW w:w="1459" w:type="dxa"/>
            <w:tcBorders>
              <w:top w:val="single" w:sz="24" w:space="0" w:color="auto"/>
            </w:tcBorders>
            <w:shd w:val="clear" w:color="auto" w:fill="auto"/>
            <w:vAlign w:val="center"/>
          </w:tcPr>
          <w:p w14:paraId="3F529B64"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New Rule</w:t>
            </w:r>
          </w:p>
        </w:tc>
        <w:tc>
          <w:tcPr>
            <w:tcW w:w="1530" w:type="dxa"/>
            <w:tcBorders>
              <w:top w:val="single" w:sz="24" w:space="0" w:color="auto"/>
            </w:tcBorders>
            <w:shd w:val="clear" w:color="auto" w:fill="auto"/>
            <w:noWrap/>
            <w:vAlign w:val="center"/>
          </w:tcPr>
          <w:p w14:paraId="5F2024F1" w14:textId="77777777" w:rsidR="00865088" w:rsidRPr="00A9594D" w:rsidRDefault="00865088" w:rsidP="00865088">
            <w:pPr>
              <w:rPr>
                <w:rFonts w:asciiTheme="minorHAnsi" w:hAnsiTheme="minorHAnsi"/>
                <w:szCs w:val="22"/>
              </w:rPr>
            </w:pPr>
            <w:r w:rsidRPr="00A9594D">
              <w:rPr>
                <w:rFonts w:asciiTheme="minorHAnsi" w:hAnsiTheme="minorHAnsi"/>
                <w:szCs w:val="22"/>
              </w:rPr>
              <w:t>584-010-0120</w:t>
            </w:r>
          </w:p>
        </w:tc>
        <w:tc>
          <w:tcPr>
            <w:tcW w:w="1980" w:type="dxa"/>
            <w:tcBorders>
              <w:top w:val="single" w:sz="24" w:space="0" w:color="auto"/>
            </w:tcBorders>
            <w:shd w:val="clear" w:color="auto" w:fill="auto"/>
            <w:vAlign w:val="center"/>
          </w:tcPr>
          <w:p w14:paraId="6F3614AE" w14:textId="77777777" w:rsidR="00865088" w:rsidRPr="00A9594D" w:rsidRDefault="00865088" w:rsidP="00865088">
            <w:pPr>
              <w:spacing w:after="100"/>
              <w:rPr>
                <w:rFonts w:asciiTheme="minorHAnsi" w:hAnsiTheme="minorHAnsi"/>
                <w:color w:val="000000"/>
                <w:szCs w:val="22"/>
              </w:rPr>
            </w:pPr>
            <w:r w:rsidRPr="00A9594D">
              <w:rPr>
                <w:rFonts w:asciiTheme="minorHAnsi" w:hAnsiTheme="minorHAnsi"/>
                <w:b/>
                <w:bCs/>
                <w:color w:val="000000"/>
                <w:szCs w:val="22"/>
              </w:rPr>
              <w:t>Waiver of Approved Program Requirements</w:t>
            </w:r>
          </w:p>
        </w:tc>
        <w:tc>
          <w:tcPr>
            <w:tcW w:w="1983" w:type="dxa"/>
            <w:tcBorders>
              <w:top w:val="single" w:sz="24" w:space="0" w:color="auto"/>
            </w:tcBorders>
          </w:tcPr>
          <w:p w14:paraId="08C43CF8" w14:textId="77777777" w:rsidR="00865088" w:rsidRPr="00A9594D" w:rsidRDefault="00865088" w:rsidP="00865088">
            <w:pPr>
              <w:rPr>
                <w:rFonts w:asciiTheme="minorHAnsi" w:hAnsiTheme="minorHAnsi"/>
                <w:szCs w:val="22"/>
              </w:rPr>
            </w:pPr>
            <w:r w:rsidRPr="00A9594D">
              <w:rPr>
                <w:rFonts w:asciiTheme="minorHAnsi" w:hAnsiTheme="minorHAnsi"/>
                <w:szCs w:val="22"/>
              </w:rPr>
              <w:t>Moved from Division 52</w:t>
            </w:r>
          </w:p>
        </w:tc>
        <w:tc>
          <w:tcPr>
            <w:tcW w:w="1306" w:type="dxa"/>
            <w:tcBorders>
              <w:top w:val="single" w:sz="24" w:space="0" w:color="auto"/>
            </w:tcBorders>
          </w:tcPr>
          <w:p w14:paraId="6B639CFB"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678A2D70"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0630D049" w14:textId="77777777" w:rsidTr="00B0206F">
        <w:trPr>
          <w:trHeight w:val="432"/>
          <w:jc w:val="center"/>
        </w:trPr>
        <w:tc>
          <w:tcPr>
            <w:tcW w:w="1506" w:type="dxa"/>
            <w:tcBorders>
              <w:top w:val="single" w:sz="4" w:space="0" w:color="auto"/>
            </w:tcBorders>
            <w:shd w:val="clear" w:color="auto" w:fill="auto"/>
            <w:vAlign w:val="center"/>
          </w:tcPr>
          <w:p w14:paraId="3CE0B921"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Program Approval</w:t>
            </w:r>
          </w:p>
        </w:tc>
        <w:tc>
          <w:tcPr>
            <w:tcW w:w="1459" w:type="dxa"/>
            <w:tcBorders>
              <w:top w:val="single" w:sz="4" w:space="0" w:color="auto"/>
            </w:tcBorders>
            <w:shd w:val="clear" w:color="auto" w:fill="auto"/>
            <w:vAlign w:val="center"/>
          </w:tcPr>
          <w:p w14:paraId="142AFAB0"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New Rule</w:t>
            </w:r>
          </w:p>
        </w:tc>
        <w:tc>
          <w:tcPr>
            <w:tcW w:w="1530" w:type="dxa"/>
            <w:tcBorders>
              <w:top w:val="single" w:sz="4" w:space="0" w:color="auto"/>
            </w:tcBorders>
            <w:shd w:val="clear" w:color="auto" w:fill="auto"/>
            <w:noWrap/>
            <w:vAlign w:val="center"/>
          </w:tcPr>
          <w:p w14:paraId="4FDFE14B" w14:textId="77777777" w:rsidR="00865088" w:rsidRPr="00A9594D" w:rsidRDefault="00865088" w:rsidP="00865088">
            <w:pPr>
              <w:rPr>
                <w:rFonts w:asciiTheme="minorHAnsi" w:hAnsiTheme="minorHAnsi"/>
                <w:szCs w:val="22"/>
              </w:rPr>
            </w:pPr>
            <w:r w:rsidRPr="00A9594D">
              <w:rPr>
                <w:rFonts w:asciiTheme="minorHAnsi" w:hAnsiTheme="minorHAnsi"/>
                <w:szCs w:val="22"/>
              </w:rPr>
              <w:t>584-017-1110</w:t>
            </w:r>
          </w:p>
        </w:tc>
        <w:tc>
          <w:tcPr>
            <w:tcW w:w="1980" w:type="dxa"/>
            <w:tcBorders>
              <w:top w:val="single" w:sz="4" w:space="0" w:color="auto"/>
            </w:tcBorders>
            <w:shd w:val="clear" w:color="auto" w:fill="auto"/>
            <w:vAlign w:val="center"/>
          </w:tcPr>
          <w:p w14:paraId="5AD2CC4B" w14:textId="77777777" w:rsidR="00865088" w:rsidRPr="00A9594D" w:rsidRDefault="00865088" w:rsidP="00865088">
            <w:pPr>
              <w:rPr>
                <w:rFonts w:asciiTheme="minorHAnsi" w:hAnsiTheme="minorHAnsi" w:cs="Helvetica"/>
                <w:bCs/>
                <w:color w:val="000000"/>
                <w:szCs w:val="22"/>
              </w:rPr>
            </w:pPr>
            <w:r w:rsidRPr="00A9594D">
              <w:rPr>
                <w:rFonts w:asciiTheme="minorHAnsi" w:hAnsiTheme="minorHAnsi" w:cs="Helvetica"/>
                <w:bCs/>
                <w:color w:val="000000"/>
                <w:szCs w:val="22"/>
              </w:rPr>
              <w:t>Teacher Candidate Performance Assessments</w:t>
            </w:r>
          </w:p>
        </w:tc>
        <w:tc>
          <w:tcPr>
            <w:tcW w:w="1983" w:type="dxa"/>
            <w:tcBorders>
              <w:top w:val="single" w:sz="4" w:space="0" w:color="auto"/>
            </w:tcBorders>
          </w:tcPr>
          <w:p w14:paraId="63F42F1D" w14:textId="77777777" w:rsidR="00865088" w:rsidRPr="00A9594D" w:rsidRDefault="00865088" w:rsidP="00865088">
            <w:pPr>
              <w:rPr>
                <w:rFonts w:asciiTheme="minorHAnsi" w:hAnsiTheme="minorHAnsi"/>
                <w:szCs w:val="22"/>
              </w:rPr>
            </w:pPr>
            <w:r w:rsidRPr="00A9594D">
              <w:rPr>
                <w:rFonts w:asciiTheme="minorHAnsi" w:hAnsiTheme="minorHAnsi"/>
                <w:szCs w:val="22"/>
              </w:rPr>
              <w:t>Modifies rule to include edTPA implementation</w:t>
            </w:r>
          </w:p>
        </w:tc>
        <w:tc>
          <w:tcPr>
            <w:tcW w:w="1306" w:type="dxa"/>
            <w:tcBorders>
              <w:top w:val="single" w:sz="4" w:space="0" w:color="auto"/>
            </w:tcBorders>
          </w:tcPr>
          <w:p w14:paraId="29C04B85"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511DFAF1"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4F5F1BF5" w14:textId="77777777" w:rsidTr="00B0206F">
        <w:trPr>
          <w:trHeight w:val="432"/>
          <w:jc w:val="center"/>
        </w:trPr>
        <w:tc>
          <w:tcPr>
            <w:tcW w:w="1506" w:type="dxa"/>
            <w:tcBorders>
              <w:top w:val="single" w:sz="4" w:space="0" w:color="auto"/>
            </w:tcBorders>
            <w:shd w:val="clear" w:color="auto" w:fill="auto"/>
            <w:vAlign w:val="center"/>
          </w:tcPr>
          <w:p w14:paraId="19B3471B"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Professional Practices</w:t>
            </w:r>
          </w:p>
        </w:tc>
        <w:tc>
          <w:tcPr>
            <w:tcW w:w="1459" w:type="dxa"/>
            <w:tcBorders>
              <w:top w:val="single" w:sz="4" w:space="0" w:color="auto"/>
            </w:tcBorders>
            <w:shd w:val="clear" w:color="auto" w:fill="auto"/>
            <w:vAlign w:val="center"/>
          </w:tcPr>
          <w:p w14:paraId="0DBB8E55"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New Rule</w:t>
            </w:r>
          </w:p>
        </w:tc>
        <w:tc>
          <w:tcPr>
            <w:tcW w:w="1530" w:type="dxa"/>
            <w:tcBorders>
              <w:top w:val="single" w:sz="4" w:space="0" w:color="auto"/>
            </w:tcBorders>
            <w:shd w:val="clear" w:color="auto" w:fill="auto"/>
            <w:noWrap/>
            <w:vAlign w:val="center"/>
          </w:tcPr>
          <w:p w14:paraId="6F501D35" w14:textId="77777777" w:rsidR="00865088" w:rsidRPr="00A9594D" w:rsidRDefault="00865088" w:rsidP="00865088">
            <w:pPr>
              <w:rPr>
                <w:rFonts w:asciiTheme="minorHAnsi" w:hAnsiTheme="minorHAnsi"/>
                <w:szCs w:val="22"/>
              </w:rPr>
            </w:pPr>
            <w:r w:rsidRPr="00A9594D">
              <w:rPr>
                <w:rFonts w:asciiTheme="minorHAnsi" w:hAnsiTheme="minorHAnsi"/>
                <w:szCs w:val="22"/>
              </w:rPr>
              <w:t>584-050-0150</w:t>
            </w:r>
          </w:p>
        </w:tc>
        <w:tc>
          <w:tcPr>
            <w:tcW w:w="1980" w:type="dxa"/>
            <w:tcBorders>
              <w:top w:val="single" w:sz="4" w:space="0" w:color="auto"/>
            </w:tcBorders>
            <w:shd w:val="clear" w:color="auto" w:fill="auto"/>
            <w:vAlign w:val="center"/>
          </w:tcPr>
          <w:p w14:paraId="6F7D5B49" w14:textId="77777777" w:rsidR="00865088" w:rsidRPr="00A9594D" w:rsidRDefault="00865088" w:rsidP="00865088">
            <w:pPr>
              <w:rPr>
                <w:rFonts w:asciiTheme="minorHAnsi" w:hAnsiTheme="minorHAnsi" w:cs="Helvetica"/>
                <w:bCs/>
                <w:color w:val="000000"/>
                <w:szCs w:val="22"/>
              </w:rPr>
            </w:pPr>
            <w:r w:rsidRPr="00A9594D">
              <w:rPr>
                <w:rFonts w:asciiTheme="minorHAnsi" w:hAnsiTheme="minorHAnsi" w:cs="Helvetica"/>
                <w:bCs/>
                <w:color w:val="000000"/>
                <w:szCs w:val="22"/>
              </w:rPr>
              <w:t>Criminal Records and Professional Conduct Background Check</w:t>
            </w:r>
          </w:p>
        </w:tc>
        <w:tc>
          <w:tcPr>
            <w:tcW w:w="1983" w:type="dxa"/>
            <w:tcBorders>
              <w:top w:val="single" w:sz="4" w:space="0" w:color="auto"/>
            </w:tcBorders>
          </w:tcPr>
          <w:p w14:paraId="3723E20D" w14:textId="77777777" w:rsidR="00865088" w:rsidRPr="00A9594D" w:rsidRDefault="00865088" w:rsidP="00865088">
            <w:pPr>
              <w:rPr>
                <w:rFonts w:asciiTheme="minorHAnsi" w:hAnsiTheme="minorHAnsi"/>
                <w:szCs w:val="22"/>
              </w:rPr>
            </w:pPr>
            <w:r w:rsidRPr="00A9594D">
              <w:rPr>
                <w:rFonts w:asciiTheme="minorHAnsi" w:hAnsiTheme="minorHAnsi"/>
                <w:szCs w:val="22"/>
              </w:rPr>
              <w:t>Moved from Division 36 – no changes to rule language.</w:t>
            </w:r>
          </w:p>
        </w:tc>
        <w:tc>
          <w:tcPr>
            <w:tcW w:w="1306" w:type="dxa"/>
            <w:tcBorders>
              <w:top w:val="single" w:sz="4" w:space="0" w:color="auto"/>
            </w:tcBorders>
          </w:tcPr>
          <w:p w14:paraId="76A3E12A"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0801FD4D"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4E5299EE" w14:textId="77777777" w:rsidTr="00B0206F">
        <w:trPr>
          <w:trHeight w:val="432"/>
          <w:jc w:val="center"/>
        </w:trPr>
        <w:tc>
          <w:tcPr>
            <w:tcW w:w="1506" w:type="dxa"/>
            <w:tcBorders>
              <w:top w:val="single" w:sz="4" w:space="0" w:color="auto"/>
            </w:tcBorders>
            <w:shd w:val="clear" w:color="auto" w:fill="auto"/>
            <w:vAlign w:val="center"/>
          </w:tcPr>
          <w:p w14:paraId="0EC06D8F"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tcBorders>
              <w:top w:val="single" w:sz="4" w:space="0" w:color="auto"/>
            </w:tcBorders>
            <w:shd w:val="clear" w:color="auto" w:fill="auto"/>
            <w:vAlign w:val="center"/>
          </w:tcPr>
          <w:p w14:paraId="0737BB7A"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New Division</w:t>
            </w:r>
          </w:p>
        </w:tc>
        <w:tc>
          <w:tcPr>
            <w:tcW w:w="1530" w:type="dxa"/>
            <w:tcBorders>
              <w:top w:val="single" w:sz="4" w:space="0" w:color="auto"/>
            </w:tcBorders>
            <w:shd w:val="clear" w:color="auto" w:fill="auto"/>
            <w:noWrap/>
            <w:vAlign w:val="center"/>
          </w:tcPr>
          <w:p w14:paraId="001FF777" w14:textId="77777777" w:rsidR="00865088" w:rsidRPr="00A9594D" w:rsidRDefault="00865088" w:rsidP="00865088">
            <w:pPr>
              <w:rPr>
                <w:rFonts w:asciiTheme="minorHAnsi" w:hAnsiTheme="minorHAnsi"/>
                <w:b/>
                <w:szCs w:val="22"/>
              </w:rPr>
            </w:pPr>
            <w:r w:rsidRPr="00A9594D">
              <w:rPr>
                <w:rFonts w:asciiTheme="minorHAnsi" w:hAnsiTheme="minorHAnsi"/>
                <w:b/>
                <w:szCs w:val="22"/>
              </w:rPr>
              <w:t>Division 200</w:t>
            </w:r>
          </w:p>
        </w:tc>
        <w:tc>
          <w:tcPr>
            <w:tcW w:w="1980" w:type="dxa"/>
            <w:tcBorders>
              <w:top w:val="single" w:sz="4" w:space="0" w:color="auto"/>
            </w:tcBorders>
            <w:shd w:val="clear" w:color="auto" w:fill="auto"/>
            <w:vAlign w:val="center"/>
          </w:tcPr>
          <w:p w14:paraId="65652FEC" w14:textId="77777777" w:rsidR="00865088" w:rsidRPr="00A9594D" w:rsidRDefault="00865088" w:rsidP="00865088">
            <w:pPr>
              <w:rPr>
                <w:rFonts w:asciiTheme="minorHAnsi" w:hAnsiTheme="minorHAnsi" w:cs="Helvetica"/>
                <w:bCs/>
                <w:color w:val="000000"/>
                <w:szCs w:val="22"/>
              </w:rPr>
            </w:pPr>
            <w:r w:rsidRPr="00A9594D">
              <w:rPr>
                <w:rFonts w:asciiTheme="minorHAnsi" w:hAnsiTheme="minorHAnsi" w:cs="Helvetica"/>
                <w:bCs/>
                <w:color w:val="000000"/>
                <w:szCs w:val="22"/>
              </w:rPr>
              <w:t xml:space="preserve">Licensure, Certification, and Registration: General Provisions </w:t>
            </w:r>
          </w:p>
        </w:tc>
        <w:tc>
          <w:tcPr>
            <w:tcW w:w="1983" w:type="dxa"/>
            <w:tcBorders>
              <w:top w:val="single" w:sz="4" w:space="0" w:color="auto"/>
            </w:tcBorders>
          </w:tcPr>
          <w:p w14:paraId="75EC6A91" w14:textId="77777777" w:rsidR="00865088" w:rsidRPr="00A9594D" w:rsidRDefault="00865088" w:rsidP="00865088">
            <w:pPr>
              <w:rPr>
                <w:rFonts w:asciiTheme="minorHAnsi" w:hAnsiTheme="minorHAnsi"/>
                <w:szCs w:val="22"/>
              </w:rPr>
            </w:pPr>
            <w:r w:rsidRPr="00A9594D">
              <w:rPr>
                <w:rFonts w:asciiTheme="minorHAnsi" w:hAnsiTheme="minorHAnsi"/>
                <w:szCs w:val="22"/>
              </w:rPr>
              <w:t>New Division for Licensure general and processing rules</w:t>
            </w:r>
          </w:p>
        </w:tc>
        <w:tc>
          <w:tcPr>
            <w:tcW w:w="1306" w:type="dxa"/>
            <w:tcBorders>
              <w:top w:val="single" w:sz="4" w:space="0" w:color="auto"/>
            </w:tcBorders>
          </w:tcPr>
          <w:p w14:paraId="09C1323E"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53B127D9"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2BA743BA" w14:textId="77777777" w:rsidTr="00B0206F">
        <w:trPr>
          <w:trHeight w:val="432"/>
          <w:jc w:val="center"/>
        </w:trPr>
        <w:tc>
          <w:tcPr>
            <w:tcW w:w="1506" w:type="dxa"/>
            <w:tcBorders>
              <w:top w:val="single" w:sz="4" w:space="0" w:color="auto"/>
            </w:tcBorders>
            <w:shd w:val="clear" w:color="auto" w:fill="auto"/>
            <w:vAlign w:val="center"/>
          </w:tcPr>
          <w:p w14:paraId="51E82117"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tcBorders>
              <w:top w:val="single" w:sz="4" w:space="0" w:color="auto"/>
            </w:tcBorders>
            <w:shd w:val="clear" w:color="auto" w:fill="auto"/>
            <w:vAlign w:val="center"/>
          </w:tcPr>
          <w:p w14:paraId="514A6332"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New Division</w:t>
            </w:r>
          </w:p>
        </w:tc>
        <w:tc>
          <w:tcPr>
            <w:tcW w:w="1530" w:type="dxa"/>
            <w:tcBorders>
              <w:top w:val="single" w:sz="4" w:space="0" w:color="auto"/>
            </w:tcBorders>
            <w:shd w:val="clear" w:color="auto" w:fill="auto"/>
            <w:noWrap/>
            <w:vAlign w:val="center"/>
            <w:hideMark/>
          </w:tcPr>
          <w:p w14:paraId="2DCC47F6" w14:textId="77777777" w:rsidR="00865088" w:rsidRPr="00A9594D" w:rsidRDefault="00865088" w:rsidP="00865088">
            <w:pPr>
              <w:spacing w:after="100"/>
              <w:rPr>
                <w:rFonts w:asciiTheme="minorHAnsi" w:hAnsiTheme="minorHAnsi"/>
                <w:color w:val="000000"/>
                <w:szCs w:val="22"/>
              </w:rPr>
            </w:pPr>
            <w:r w:rsidRPr="00A9594D">
              <w:rPr>
                <w:rFonts w:asciiTheme="minorHAnsi" w:hAnsiTheme="minorHAnsi"/>
                <w:b/>
                <w:bCs/>
                <w:color w:val="000000"/>
                <w:szCs w:val="22"/>
              </w:rPr>
              <w:t xml:space="preserve">Division 225   </w:t>
            </w:r>
            <w:hyperlink r:id="rId13" w:history="1"/>
          </w:p>
        </w:tc>
        <w:tc>
          <w:tcPr>
            <w:tcW w:w="1980" w:type="dxa"/>
            <w:tcBorders>
              <w:top w:val="single" w:sz="4" w:space="0" w:color="auto"/>
            </w:tcBorders>
            <w:shd w:val="clear" w:color="auto" w:fill="auto"/>
            <w:vAlign w:val="center"/>
            <w:hideMark/>
          </w:tcPr>
          <w:p w14:paraId="10F17732" w14:textId="77777777" w:rsidR="00865088" w:rsidRPr="00A9594D" w:rsidRDefault="00865088" w:rsidP="00865088">
            <w:pPr>
              <w:spacing w:after="100"/>
              <w:rPr>
                <w:rFonts w:asciiTheme="minorHAnsi" w:hAnsiTheme="minorHAnsi"/>
                <w:color w:val="000000"/>
                <w:szCs w:val="22"/>
              </w:rPr>
            </w:pPr>
            <w:r w:rsidRPr="00A9594D">
              <w:rPr>
                <w:rFonts w:asciiTheme="minorHAnsi" w:hAnsiTheme="minorHAnsi"/>
                <w:color w:val="000000"/>
                <w:szCs w:val="22"/>
              </w:rPr>
              <w:t>Specializations</w:t>
            </w:r>
          </w:p>
        </w:tc>
        <w:tc>
          <w:tcPr>
            <w:tcW w:w="1983" w:type="dxa"/>
            <w:tcBorders>
              <w:top w:val="single" w:sz="4" w:space="0" w:color="auto"/>
            </w:tcBorders>
          </w:tcPr>
          <w:p w14:paraId="1A766FF0" w14:textId="77777777" w:rsidR="00865088" w:rsidRPr="00A9594D" w:rsidRDefault="00865088" w:rsidP="00865088">
            <w:pPr>
              <w:rPr>
                <w:rFonts w:asciiTheme="minorHAnsi" w:hAnsiTheme="minorHAnsi"/>
                <w:szCs w:val="22"/>
              </w:rPr>
            </w:pPr>
            <w:r w:rsidRPr="00A9594D">
              <w:rPr>
                <w:rFonts w:asciiTheme="minorHAnsi" w:hAnsiTheme="minorHAnsi"/>
                <w:szCs w:val="22"/>
              </w:rPr>
              <w:t>New Division for Specializations</w:t>
            </w:r>
          </w:p>
        </w:tc>
        <w:tc>
          <w:tcPr>
            <w:tcW w:w="1306" w:type="dxa"/>
            <w:tcBorders>
              <w:top w:val="single" w:sz="4" w:space="0" w:color="auto"/>
            </w:tcBorders>
            <w:vAlign w:val="center"/>
          </w:tcPr>
          <w:p w14:paraId="4CB11B8F"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417B20D4" w14:textId="77777777" w:rsidR="00865088" w:rsidRPr="00A9594D" w:rsidRDefault="00865088" w:rsidP="00865088">
            <w:pPr>
              <w:rPr>
                <w:rFonts w:asciiTheme="minorHAnsi" w:hAnsiTheme="minorHAnsi"/>
                <w:szCs w:val="22"/>
              </w:rPr>
            </w:pPr>
            <w:r w:rsidRPr="00A9594D">
              <w:rPr>
                <w:rFonts w:asciiTheme="minorHAnsi" w:hAnsiTheme="minorHAnsi"/>
                <w:szCs w:val="22"/>
              </w:rPr>
              <w:t>Commission Meeting</w:t>
            </w:r>
          </w:p>
        </w:tc>
      </w:tr>
      <w:tr w:rsidR="00865088" w:rsidRPr="00A9594D" w14:paraId="0DFB6D04" w14:textId="77777777" w:rsidTr="00B0206F">
        <w:trPr>
          <w:trHeight w:val="432"/>
          <w:jc w:val="center"/>
        </w:trPr>
        <w:tc>
          <w:tcPr>
            <w:tcW w:w="1506" w:type="dxa"/>
            <w:shd w:val="clear" w:color="auto" w:fill="auto"/>
            <w:vAlign w:val="center"/>
          </w:tcPr>
          <w:p w14:paraId="4ADE00D3"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Program Approval</w:t>
            </w:r>
          </w:p>
        </w:tc>
        <w:tc>
          <w:tcPr>
            <w:tcW w:w="1459" w:type="dxa"/>
            <w:shd w:val="clear" w:color="auto" w:fill="auto"/>
            <w:vAlign w:val="center"/>
          </w:tcPr>
          <w:p w14:paraId="41D278B7"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New Division</w:t>
            </w:r>
          </w:p>
        </w:tc>
        <w:tc>
          <w:tcPr>
            <w:tcW w:w="1530" w:type="dxa"/>
            <w:shd w:val="clear" w:color="auto" w:fill="auto"/>
            <w:noWrap/>
            <w:vAlign w:val="center"/>
          </w:tcPr>
          <w:p w14:paraId="426DEB0F" w14:textId="77777777" w:rsidR="00865088" w:rsidRPr="00A9594D" w:rsidRDefault="00865088" w:rsidP="00865088">
            <w:pPr>
              <w:rPr>
                <w:rFonts w:asciiTheme="minorHAnsi" w:hAnsiTheme="minorHAnsi" w:cs="Arial"/>
                <w:b/>
                <w:bCs/>
                <w:color w:val="000000"/>
                <w:szCs w:val="22"/>
              </w:rPr>
            </w:pPr>
            <w:r w:rsidRPr="00A9594D">
              <w:rPr>
                <w:rFonts w:asciiTheme="minorHAnsi" w:hAnsiTheme="minorHAnsi" w:cs="Arial"/>
                <w:b/>
                <w:bCs/>
                <w:color w:val="000000"/>
                <w:szCs w:val="22"/>
              </w:rPr>
              <w:t>Division 420</w:t>
            </w:r>
          </w:p>
        </w:tc>
        <w:tc>
          <w:tcPr>
            <w:tcW w:w="1980" w:type="dxa"/>
            <w:shd w:val="clear" w:color="auto" w:fill="auto"/>
            <w:vAlign w:val="center"/>
          </w:tcPr>
          <w:p w14:paraId="0DDF6B7B" w14:textId="77777777" w:rsidR="00865088" w:rsidRPr="00A9594D" w:rsidRDefault="00865088" w:rsidP="00865088">
            <w:pPr>
              <w:rPr>
                <w:rFonts w:asciiTheme="minorHAnsi" w:hAnsiTheme="minorHAnsi" w:cs="Arial"/>
                <w:bCs/>
                <w:color w:val="000000"/>
                <w:szCs w:val="22"/>
              </w:rPr>
            </w:pPr>
            <w:r w:rsidRPr="00A9594D">
              <w:rPr>
                <w:rFonts w:asciiTheme="minorHAnsi" w:hAnsiTheme="minorHAnsi"/>
                <w:b/>
                <w:szCs w:val="22"/>
              </w:rPr>
              <w:t>Program Standards</w:t>
            </w:r>
          </w:p>
        </w:tc>
        <w:tc>
          <w:tcPr>
            <w:tcW w:w="1983" w:type="dxa"/>
          </w:tcPr>
          <w:p w14:paraId="4F2AF6AB" w14:textId="77777777" w:rsidR="00865088" w:rsidRPr="00A9594D" w:rsidRDefault="00865088" w:rsidP="00865088">
            <w:pPr>
              <w:rPr>
                <w:rFonts w:asciiTheme="minorHAnsi" w:hAnsiTheme="minorHAnsi"/>
                <w:szCs w:val="22"/>
              </w:rPr>
            </w:pPr>
            <w:r w:rsidRPr="00A9594D">
              <w:rPr>
                <w:rFonts w:asciiTheme="minorHAnsi" w:hAnsiTheme="minorHAnsi"/>
                <w:szCs w:val="22"/>
              </w:rPr>
              <w:t>New Division for Program Standards</w:t>
            </w:r>
          </w:p>
        </w:tc>
        <w:tc>
          <w:tcPr>
            <w:tcW w:w="1306" w:type="dxa"/>
          </w:tcPr>
          <w:p w14:paraId="3E45E5AC"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1A88D260"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432CB851" w14:textId="77777777" w:rsidTr="00B0206F">
        <w:trPr>
          <w:trHeight w:val="432"/>
          <w:jc w:val="center"/>
        </w:trPr>
        <w:tc>
          <w:tcPr>
            <w:tcW w:w="1506" w:type="dxa"/>
            <w:tcBorders>
              <w:bottom w:val="single" w:sz="4" w:space="0" w:color="auto"/>
            </w:tcBorders>
            <w:shd w:val="clear" w:color="auto" w:fill="auto"/>
            <w:vAlign w:val="center"/>
          </w:tcPr>
          <w:p w14:paraId="0191F884"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tcBorders>
              <w:bottom w:val="single" w:sz="4" w:space="0" w:color="auto"/>
            </w:tcBorders>
            <w:shd w:val="clear" w:color="auto" w:fill="auto"/>
            <w:vAlign w:val="center"/>
          </w:tcPr>
          <w:p w14:paraId="57F78D0F"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Amend</w:t>
            </w:r>
          </w:p>
        </w:tc>
        <w:tc>
          <w:tcPr>
            <w:tcW w:w="1530" w:type="dxa"/>
            <w:tcBorders>
              <w:bottom w:val="single" w:sz="4" w:space="0" w:color="auto"/>
            </w:tcBorders>
            <w:shd w:val="clear" w:color="auto" w:fill="auto"/>
            <w:noWrap/>
            <w:vAlign w:val="center"/>
          </w:tcPr>
          <w:p w14:paraId="4EEB5FA0"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Cs/>
                <w:color w:val="000000"/>
                <w:szCs w:val="22"/>
              </w:rPr>
              <w:t>584-070-0012</w:t>
            </w:r>
          </w:p>
        </w:tc>
        <w:tc>
          <w:tcPr>
            <w:tcW w:w="1980" w:type="dxa"/>
            <w:tcBorders>
              <w:bottom w:val="single" w:sz="4" w:space="0" w:color="auto"/>
            </w:tcBorders>
            <w:shd w:val="clear" w:color="auto" w:fill="auto"/>
            <w:vAlign w:val="center"/>
          </w:tcPr>
          <w:p w14:paraId="36C06700"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Preliminary School Counselor License</w:t>
            </w:r>
          </w:p>
        </w:tc>
        <w:tc>
          <w:tcPr>
            <w:tcW w:w="1983" w:type="dxa"/>
            <w:tcBorders>
              <w:bottom w:val="single" w:sz="4" w:space="0" w:color="auto"/>
            </w:tcBorders>
          </w:tcPr>
          <w:p w14:paraId="0E3C37BB" w14:textId="77777777" w:rsidR="00865088" w:rsidRPr="00A9594D" w:rsidRDefault="00865088" w:rsidP="00865088">
            <w:pPr>
              <w:rPr>
                <w:rFonts w:asciiTheme="minorHAnsi" w:hAnsiTheme="minorHAnsi"/>
                <w:szCs w:val="22"/>
              </w:rPr>
            </w:pPr>
            <w:r w:rsidRPr="00A9594D">
              <w:rPr>
                <w:rFonts w:asciiTheme="minorHAnsi" w:hAnsiTheme="minorHAnsi"/>
                <w:szCs w:val="22"/>
              </w:rPr>
              <w:t xml:space="preserve">Changes Initial I School Counselor license to Preliminary School Counselor License.  Makes continuously renewable. </w:t>
            </w:r>
          </w:p>
        </w:tc>
        <w:tc>
          <w:tcPr>
            <w:tcW w:w="1306" w:type="dxa"/>
            <w:tcBorders>
              <w:bottom w:val="single" w:sz="4" w:space="0" w:color="auto"/>
            </w:tcBorders>
          </w:tcPr>
          <w:p w14:paraId="3732B469"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2F3FF1D1" w14:textId="0396418F"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039DE6B8" w14:textId="77777777" w:rsidTr="00B0206F">
        <w:trPr>
          <w:trHeight w:val="432"/>
          <w:jc w:val="center"/>
        </w:trPr>
        <w:tc>
          <w:tcPr>
            <w:tcW w:w="1506" w:type="dxa"/>
            <w:shd w:val="clear" w:color="auto" w:fill="auto"/>
            <w:vAlign w:val="center"/>
          </w:tcPr>
          <w:p w14:paraId="5F8EF8E5"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shd w:val="clear" w:color="auto" w:fill="auto"/>
            <w:vAlign w:val="center"/>
          </w:tcPr>
          <w:p w14:paraId="0AEF4C1A"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New License</w:t>
            </w:r>
          </w:p>
        </w:tc>
        <w:tc>
          <w:tcPr>
            <w:tcW w:w="1530" w:type="dxa"/>
            <w:shd w:val="clear" w:color="auto" w:fill="auto"/>
            <w:noWrap/>
            <w:vAlign w:val="center"/>
          </w:tcPr>
          <w:p w14:paraId="19472BEF"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584-070-0510</w:t>
            </w:r>
          </w:p>
        </w:tc>
        <w:tc>
          <w:tcPr>
            <w:tcW w:w="1980" w:type="dxa"/>
            <w:shd w:val="clear" w:color="auto" w:fill="auto"/>
            <w:vAlign w:val="center"/>
          </w:tcPr>
          <w:p w14:paraId="5A6D22ED"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Legacy School Counselor License</w:t>
            </w:r>
          </w:p>
        </w:tc>
        <w:tc>
          <w:tcPr>
            <w:tcW w:w="1983" w:type="dxa"/>
          </w:tcPr>
          <w:p w14:paraId="27E1B34B" w14:textId="77777777" w:rsidR="00865088" w:rsidRPr="00A9594D" w:rsidRDefault="00865088" w:rsidP="00865088">
            <w:pPr>
              <w:rPr>
                <w:rFonts w:asciiTheme="minorHAnsi" w:hAnsiTheme="minorHAnsi"/>
                <w:szCs w:val="22"/>
              </w:rPr>
            </w:pPr>
            <w:r w:rsidRPr="00A9594D">
              <w:rPr>
                <w:rFonts w:asciiTheme="minorHAnsi" w:hAnsiTheme="minorHAnsi"/>
                <w:szCs w:val="22"/>
              </w:rPr>
              <w:t xml:space="preserve">New license for transition to new license in statute. </w:t>
            </w:r>
          </w:p>
        </w:tc>
        <w:tc>
          <w:tcPr>
            <w:tcW w:w="1306" w:type="dxa"/>
          </w:tcPr>
          <w:p w14:paraId="18A80BE1"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01DC8318"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3895DDA0" w14:textId="77777777" w:rsidTr="00B0206F">
        <w:trPr>
          <w:trHeight w:val="432"/>
          <w:jc w:val="center"/>
        </w:trPr>
        <w:tc>
          <w:tcPr>
            <w:tcW w:w="1506" w:type="dxa"/>
            <w:shd w:val="clear" w:color="auto" w:fill="auto"/>
            <w:vAlign w:val="center"/>
          </w:tcPr>
          <w:p w14:paraId="44CC7D56"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lastRenderedPageBreak/>
              <w:t>Licensure</w:t>
            </w:r>
          </w:p>
        </w:tc>
        <w:tc>
          <w:tcPr>
            <w:tcW w:w="1459" w:type="dxa"/>
            <w:shd w:val="clear" w:color="auto" w:fill="auto"/>
            <w:vAlign w:val="center"/>
          </w:tcPr>
          <w:p w14:paraId="73F12135"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Amend Division</w:t>
            </w:r>
          </w:p>
        </w:tc>
        <w:tc>
          <w:tcPr>
            <w:tcW w:w="1530" w:type="dxa"/>
            <w:shd w:val="clear" w:color="auto" w:fill="auto"/>
            <w:noWrap/>
            <w:vAlign w:val="center"/>
          </w:tcPr>
          <w:p w14:paraId="0493EDB6"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Division 210</w:t>
            </w:r>
          </w:p>
        </w:tc>
        <w:tc>
          <w:tcPr>
            <w:tcW w:w="1980" w:type="dxa"/>
            <w:shd w:val="clear" w:color="auto" w:fill="auto"/>
            <w:vAlign w:val="center"/>
          </w:tcPr>
          <w:p w14:paraId="3A13118B"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Teaching Licenses</w:t>
            </w:r>
          </w:p>
        </w:tc>
        <w:tc>
          <w:tcPr>
            <w:tcW w:w="1983" w:type="dxa"/>
          </w:tcPr>
          <w:p w14:paraId="0894E4B4" w14:textId="77777777" w:rsidR="00865088" w:rsidRPr="00A9594D" w:rsidRDefault="00865088" w:rsidP="00865088">
            <w:pPr>
              <w:rPr>
                <w:rFonts w:asciiTheme="minorHAnsi" w:hAnsiTheme="minorHAnsi"/>
                <w:szCs w:val="22"/>
              </w:rPr>
            </w:pPr>
            <w:r w:rsidRPr="00A9594D">
              <w:rPr>
                <w:rFonts w:asciiTheme="minorHAnsi" w:hAnsiTheme="minorHAnsi"/>
                <w:szCs w:val="22"/>
              </w:rPr>
              <w:t>Technical Changes to rules adopted in Nov 2015.</w:t>
            </w:r>
          </w:p>
        </w:tc>
        <w:tc>
          <w:tcPr>
            <w:tcW w:w="1306" w:type="dxa"/>
          </w:tcPr>
          <w:p w14:paraId="531693BF"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242EF5BB"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198F5D50" w14:textId="77777777" w:rsidTr="00B0206F">
        <w:trPr>
          <w:trHeight w:val="432"/>
          <w:jc w:val="center"/>
        </w:trPr>
        <w:tc>
          <w:tcPr>
            <w:tcW w:w="1506" w:type="dxa"/>
            <w:shd w:val="clear" w:color="auto" w:fill="auto"/>
            <w:vAlign w:val="center"/>
          </w:tcPr>
          <w:p w14:paraId="68642308"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shd w:val="clear" w:color="auto" w:fill="auto"/>
            <w:vAlign w:val="center"/>
          </w:tcPr>
          <w:p w14:paraId="64A0D6ED"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Amend Division</w:t>
            </w:r>
          </w:p>
        </w:tc>
        <w:tc>
          <w:tcPr>
            <w:tcW w:w="1530" w:type="dxa"/>
            <w:shd w:val="clear" w:color="auto" w:fill="auto"/>
            <w:noWrap/>
            <w:vAlign w:val="center"/>
          </w:tcPr>
          <w:p w14:paraId="096226F4"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Division 255</w:t>
            </w:r>
          </w:p>
        </w:tc>
        <w:tc>
          <w:tcPr>
            <w:tcW w:w="1980" w:type="dxa"/>
            <w:shd w:val="clear" w:color="auto" w:fill="auto"/>
            <w:vAlign w:val="center"/>
          </w:tcPr>
          <w:p w14:paraId="157D24DA"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Professional Development</w:t>
            </w:r>
          </w:p>
        </w:tc>
        <w:tc>
          <w:tcPr>
            <w:tcW w:w="1983" w:type="dxa"/>
          </w:tcPr>
          <w:p w14:paraId="7CFB7A3C" w14:textId="77777777" w:rsidR="00865088" w:rsidRPr="00A9594D" w:rsidRDefault="00865088" w:rsidP="00865088">
            <w:pPr>
              <w:rPr>
                <w:rFonts w:asciiTheme="minorHAnsi" w:hAnsiTheme="minorHAnsi"/>
                <w:szCs w:val="22"/>
              </w:rPr>
            </w:pPr>
            <w:r w:rsidRPr="00A9594D">
              <w:rPr>
                <w:rFonts w:asciiTheme="minorHAnsi" w:hAnsiTheme="minorHAnsi"/>
                <w:szCs w:val="22"/>
              </w:rPr>
              <w:t>Technical Changes to rules adopted in Nov 2015.</w:t>
            </w:r>
          </w:p>
        </w:tc>
        <w:tc>
          <w:tcPr>
            <w:tcW w:w="1306" w:type="dxa"/>
          </w:tcPr>
          <w:p w14:paraId="568D5518"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070658F5"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703916BF" w14:textId="77777777" w:rsidTr="00B0206F">
        <w:trPr>
          <w:trHeight w:val="432"/>
          <w:jc w:val="center"/>
        </w:trPr>
        <w:tc>
          <w:tcPr>
            <w:tcW w:w="1506" w:type="dxa"/>
            <w:shd w:val="clear" w:color="auto" w:fill="auto"/>
            <w:vAlign w:val="center"/>
          </w:tcPr>
          <w:p w14:paraId="2BFB8348"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shd w:val="clear" w:color="auto" w:fill="auto"/>
            <w:vAlign w:val="center"/>
          </w:tcPr>
          <w:p w14:paraId="6AE823FD"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Amend Division</w:t>
            </w:r>
          </w:p>
        </w:tc>
        <w:tc>
          <w:tcPr>
            <w:tcW w:w="1530" w:type="dxa"/>
            <w:shd w:val="clear" w:color="auto" w:fill="auto"/>
            <w:noWrap/>
            <w:vAlign w:val="center"/>
          </w:tcPr>
          <w:p w14:paraId="66B9A202"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 xml:space="preserve">Division 220 </w:t>
            </w:r>
          </w:p>
        </w:tc>
        <w:tc>
          <w:tcPr>
            <w:tcW w:w="1980" w:type="dxa"/>
            <w:shd w:val="clear" w:color="auto" w:fill="auto"/>
            <w:vAlign w:val="center"/>
          </w:tcPr>
          <w:p w14:paraId="7A8925BA"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Endorsements</w:t>
            </w:r>
          </w:p>
        </w:tc>
        <w:tc>
          <w:tcPr>
            <w:tcW w:w="1983" w:type="dxa"/>
          </w:tcPr>
          <w:p w14:paraId="7A794C33" w14:textId="77777777" w:rsidR="00865088" w:rsidRPr="00A9594D" w:rsidRDefault="00865088" w:rsidP="00865088">
            <w:pPr>
              <w:rPr>
                <w:rFonts w:asciiTheme="minorHAnsi" w:hAnsiTheme="minorHAnsi"/>
                <w:szCs w:val="22"/>
              </w:rPr>
            </w:pPr>
            <w:r w:rsidRPr="00A9594D">
              <w:rPr>
                <w:rFonts w:asciiTheme="minorHAnsi" w:hAnsiTheme="minorHAnsi"/>
                <w:szCs w:val="22"/>
              </w:rPr>
              <w:t>Technical Changes to rules adopted in Nov 2015.</w:t>
            </w:r>
          </w:p>
        </w:tc>
        <w:tc>
          <w:tcPr>
            <w:tcW w:w="1306" w:type="dxa"/>
          </w:tcPr>
          <w:p w14:paraId="1A6D35A5"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6AAFAAD1"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792D7041" w14:textId="77777777" w:rsidTr="00B0206F">
        <w:trPr>
          <w:trHeight w:val="432"/>
          <w:jc w:val="center"/>
        </w:trPr>
        <w:tc>
          <w:tcPr>
            <w:tcW w:w="1506" w:type="dxa"/>
            <w:shd w:val="clear" w:color="auto" w:fill="auto"/>
            <w:vAlign w:val="center"/>
          </w:tcPr>
          <w:p w14:paraId="592AA322"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shd w:val="clear" w:color="auto" w:fill="auto"/>
            <w:vAlign w:val="center"/>
          </w:tcPr>
          <w:p w14:paraId="53C13208"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Repeal</w:t>
            </w:r>
          </w:p>
        </w:tc>
        <w:tc>
          <w:tcPr>
            <w:tcW w:w="1530" w:type="dxa"/>
            <w:shd w:val="clear" w:color="auto" w:fill="auto"/>
            <w:noWrap/>
            <w:vAlign w:val="center"/>
          </w:tcPr>
          <w:p w14:paraId="35A93F37"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Division 52</w:t>
            </w:r>
          </w:p>
        </w:tc>
        <w:tc>
          <w:tcPr>
            <w:tcW w:w="1980" w:type="dxa"/>
            <w:shd w:val="clear" w:color="auto" w:fill="auto"/>
            <w:vAlign w:val="center"/>
          </w:tcPr>
          <w:p w14:paraId="38EAE072"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Evaluation of Educator Preparation</w:t>
            </w:r>
          </w:p>
        </w:tc>
        <w:tc>
          <w:tcPr>
            <w:tcW w:w="1983" w:type="dxa"/>
          </w:tcPr>
          <w:p w14:paraId="25B1497C" w14:textId="77777777" w:rsidR="00865088" w:rsidRPr="00A9594D" w:rsidRDefault="00865088" w:rsidP="00865088">
            <w:pPr>
              <w:rPr>
                <w:rFonts w:asciiTheme="minorHAnsi" w:hAnsiTheme="minorHAnsi"/>
                <w:szCs w:val="22"/>
              </w:rPr>
            </w:pPr>
            <w:r w:rsidRPr="00A9594D">
              <w:rPr>
                <w:rFonts w:asciiTheme="minorHAnsi" w:hAnsiTheme="minorHAnsi"/>
                <w:szCs w:val="22"/>
              </w:rPr>
              <w:t>Rules moved to other divisions.</w:t>
            </w:r>
          </w:p>
        </w:tc>
        <w:tc>
          <w:tcPr>
            <w:tcW w:w="1306" w:type="dxa"/>
          </w:tcPr>
          <w:p w14:paraId="1D5CEC3F"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10DFEA55"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0EBFD5C7" w14:textId="77777777" w:rsidTr="00B0206F">
        <w:trPr>
          <w:trHeight w:val="432"/>
          <w:jc w:val="center"/>
        </w:trPr>
        <w:tc>
          <w:tcPr>
            <w:tcW w:w="1506" w:type="dxa"/>
            <w:shd w:val="clear" w:color="auto" w:fill="auto"/>
            <w:vAlign w:val="center"/>
          </w:tcPr>
          <w:p w14:paraId="5F38625A"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shd w:val="clear" w:color="auto" w:fill="auto"/>
            <w:vAlign w:val="center"/>
          </w:tcPr>
          <w:p w14:paraId="1121F08A"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Repeal</w:t>
            </w:r>
          </w:p>
        </w:tc>
        <w:tc>
          <w:tcPr>
            <w:tcW w:w="1530" w:type="dxa"/>
            <w:shd w:val="clear" w:color="auto" w:fill="auto"/>
            <w:noWrap/>
            <w:vAlign w:val="center"/>
          </w:tcPr>
          <w:p w14:paraId="5E158971"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Division 66</w:t>
            </w:r>
          </w:p>
        </w:tc>
        <w:tc>
          <w:tcPr>
            <w:tcW w:w="1980" w:type="dxa"/>
            <w:shd w:val="clear" w:color="auto" w:fill="auto"/>
            <w:vAlign w:val="center"/>
          </w:tcPr>
          <w:p w14:paraId="7B468D70"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Specializations</w:t>
            </w:r>
          </w:p>
        </w:tc>
        <w:tc>
          <w:tcPr>
            <w:tcW w:w="1983" w:type="dxa"/>
          </w:tcPr>
          <w:p w14:paraId="5CACF646" w14:textId="77777777" w:rsidR="00865088" w:rsidRPr="00A9594D" w:rsidRDefault="00865088" w:rsidP="00865088">
            <w:pPr>
              <w:rPr>
                <w:rFonts w:asciiTheme="minorHAnsi" w:hAnsiTheme="minorHAnsi"/>
                <w:szCs w:val="22"/>
              </w:rPr>
            </w:pPr>
            <w:r w:rsidRPr="00A9594D">
              <w:rPr>
                <w:rFonts w:asciiTheme="minorHAnsi" w:hAnsiTheme="minorHAnsi"/>
                <w:szCs w:val="22"/>
              </w:rPr>
              <w:t>Specializations are moved to Division 225.</w:t>
            </w:r>
          </w:p>
        </w:tc>
        <w:tc>
          <w:tcPr>
            <w:tcW w:w="1306" w:type="dxa"/>
          </w:tcPr>
          <w:p w14:paraId="7270CD8B"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6C8A3FD6"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45D50F61" w14:textId="77777777" w:rsidTr="00B0206F">
        <w:trPr>
          <w:trHeight w:val="432"/>
          <w:jc w:val="center"/>
        </w:trPr>
        <w:tc>
          <w:tcPr>
            <w:tcW w:w="1506" w:type="dxa"/>
            <w:shd w:val="clear" w:color="auto" w:fill="auto"/>
            <w:vAlign w:val="center"/>
          </w:tcPr>
          <w:p w14:paraId="7078EF75"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shd w:val="clear" w:color="auto" w:fill="auto"/>
            <w:vAlign w:val="center"/>
          </w:tcPr>
          <w:p w14:paraId="6A87563C"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Repeal</w:t>
            </w:r>
          </w:p>
        </w:tc>
        <w:tc>
          <w:tcPr>
            <w:tcW w:w="1530" w:type="dxa"/>
            <w:shd w:val="clear" w:color="auto" w:fill="auto"/>
            <w:noWrap/>
            <w:vAlign w:val="center"/>
          </w:tcPr>
          <w:p w14:paraId="65042A04"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Division 65</w:t>
            </w:r>
          </w:p>
        </w:tc>
        <w:tc>
          <w:tcPr>
            <w:tcW w:w="1980" w:type="dxa"/>
            <w:shd w:val="clear" w:color="auto" w:fill="auto"/>
            <w:vAlign w:val="center"/>
          </w:tcPr>
          <w:p w14:paraId="6BCCBCB5" w14:textId="77777777" w:rsidR="00865088" w:rsidRPr="00A9594D" w:rsidRDefault="00865088" w:rsidP="00865088">
            <w:pPr>
              <w:tabs>
                <w:tab w:val="left" w:pos="720"/>
              </w:tabs>
              <w:spacing w:after="100"/>
              <w:rPr>
                <w:rFonts w:asciiTheme="minorHAnsi" w:hAnsiTheme="minorHAnsi" w:cs="Helvetica"/>
                <w:b/>
                <w:bCs/>
                <w:color w:val="000000"/>
                <w:szCs w:val="22"/>
              </w:rPr>
            </w:pPr>
          </w:p>
          <w:p w14:paraId="2870631E"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Endorsements for Continuing and Initial Teaching Licenses</w:t>
            </w:r>
          </w:p>
        </w:tc>
        <w:tc>
          <w:tcPr>
            <w:tcW w:w="1983" w:type="dxa"/>
          </w:tcPr>
          <w:p w14:paraId="7A973702" w14:textId="77777777" w:rsidR="00865088" w:rsidRPr="00A9594D" w:rsidRDefault="00865088" w:rsidP="00865088">
            <w:pPr>
              <w:rPr>
                <w:rFonts w:asciiTheme="minorHAnsi" w:hAnsiTheme="minorHAnsi"/>
                <w:szCs w:val="22"/>
              </w:rPr>
            </w:pPr>
            <w:r w:rsidRPr="00A9594D">
              <w:rPr>
                <w:rFonts w:asciiTheme="minorHAnsi" w:hAnsiTheme="minorHAnsi"/>
                <w:szCs w:val="22"/>
              </w:rPr>
              <w:t>Standards for all endorsements are moved to Division 420.</w:t>
            </w:r>
          </w:p>
        </w:tc>
        <w:tc>
          <w:tcPr>
            <w:tcW w:w="1306" w:type="dxa"/>
          </w:tcPr>
          <w:p w14:paraId="16264203"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54BF3159"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7BF44869" w14:textId="77777777" w:rsidTr="00B0206F">
        <w:trPr>
          <w:trHeight w:val="432"/>
          <w:jc w:val="center"/>
        </w:trPr>
        <w:tc>
          <w:tcPr>
            <w:tcW w:w="1506" w:type="dxa"/>
            <w:shd w:val="clear" w:color="auto" w:fill="auto"/>
            <w:vAlign w:val="center"/>
          </w:tcPr>
          <w:p w14:paraId="19BBD33C"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shd w:val="clear" w:color="auto" w:fill="auto"/>
            <w:vAlign w:val="center"/>
          </w:tcPr>
          <w:p w14:paraId="55A353DA"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Repeal</w:t>
            </w:r>
          </w:p>
        </w:tc>
        <w:tc>
          <w:tcPr>
            <w:tcW w:w="1530" w:type="dxa"/>
            <w:shd w:val="clear" w:color="auto" w:fill="auto"/>
            <w:noWrap/>
            <w:vAlign w:val="center"/>
          </w:tcPr>
          <w:p w14:paraId="75D4AEBB"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Division 40</w:t>
            </w:r>
          </w:p>
        </w:tc>
        <w:tc>
          <w:tcPr>
            <w:tcW w:w="1980" w:type="dxa"/>
            <w:shd w:val="clear" w:color="auto" w:fill="auto"/>
            <w:vAlign w:val="center"/>
          </w:tcPr>
          <w:p w14:paraId="7B402248"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Standard Teaching License Requirements</w:t>
            </w:r>
          </w:p>
        </w:tc>
        <w:tc>
          <w:tcPr>
            <w:tcW w:w="1983" w:type="dxa"/>
          </w:tcPr>
          <w:p w14:paraId="66702927" w14:textId="77777777" w:rsidR="00865088" w:rsidRPr="00A9594D" w:rsidRDefault="00865088" w:rsidP="00865088">
            <w:pPr>
              <w:rPr>
                <w:rFonts w:asciiTheme="minorHAnsi" w:hAnsiTheme="minorHAnsi"/>
                <w:szCs w:val="22"/>
              </w:rPr>
            </w:pPr>
            <w:r w:rsidRPr="00A9594D">
              <w:rPr>
                <w:rFonts w:asciiTheme="minorHAnsi" w:hAnsiTheme="minorHAnsi"/>
                <w:szCs w:val="22"/>
              </w:rPr>
              <w:t>Standards are repealed under Licensure Redesign</w:t>
            </w:r>
          </w:p>
        </w:tc>
        <w:tc>
          <w:tcPr>
            <w:tcW w:w="1306" w:type="dxa"/>
          </w:tcPr>
          <w:p w14:paraId="77E7A6E4"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0CFA5DFC"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139021DE" w14:textId="77777777" w:rsidTr="00B0206F">
        <w:trPr>
          <w:trHeight w:val="432"/>
          <w:jc w:val="center"/>
        </w:trPr>
        <w:tc>
          <w:tcPr>
            <w:tcW w:w="1506" w:type="dxa"/>
            <w:tcBorders>
              <w:bottom w:val="single" w:sz="4" w:space="0" w:color="auto"/>
            </w:tcBorders>
            <w:shd w:val="clear" w:color="auto" w:fill="auto"/>
            <w:vAlign w:val="center"/>
          </w:tcPr>
          <w:p w14:paraId="658AE95D"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tcBorders>
              <w:bottom w:val="single" w:sz="4" w:space="0" w:color="auto"/>
            </w:tcBorders>
            <w:shd w:val="clear" w:color="auto" w:fill="auto"/>
            <w:vAlign w:val="center"/>
          </w:tcPr>
          <w:p w14:paraId="1D27937E"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Repeal</w:t>
            </w:r>
          </w:p>
        </w:tc>
        <w:tc>
          <w:tcPr>
            <w:tcW w:w="1530" w:type="dxa"/>
            <w:tcBorders>
              <w:bottom w:val="single" w:sz="4" w:space="0" w:color="auto"/>
            </w:tcBorders>
            <w:shd w:val="clear" w:color="auto" w:fill="auto"/>
            <w:noWrap/>
            <w:vAlign w:val="center"/>
          </w:tcPr>
          <w:p w14:paraId="1252022C" w14:textId="77777777" w:rsidR="00865088" w:rsidRPr="00A9594D" w:rsidRDefault="00865088" w:rsidP="00865088">
            <w:pPr>
              <w:tabs>
                <w:tab w:val="left" w:pos="720"/>
              </w:tabs>
              <w:spacing w:after="100"/>
              <w:rPr>
                <w:rFonts w:asciiTheme="minorHAnsi" w:hAnsiTheme="minorHAnsi" w:cs="Helvetica"/>
                <w:bCs/>
                <w:color w:val="000000"/>
                <w:szCs w:val="22"/>
              </w:rPr>
            </w:pPr>
            <w:r w:rsidRPr="00A9594D">
              <w:rPr>
                <w:rFonts w:asciiTheme="minorHAnsi" w:hAnsiTheme="minorHAnsi" w:cs="Helvetica"/>
                <w:bCs/>
                <w:color w:val="000000"/>
                <w:szCs w:val="22"/>
              </w:rPr>
              <w:t>584-070-0014</w:t>
            </w:r>
          </w:p>
        </w:tc>
        <w:tc>
          <w:tcPr>
            <w:tcW w:w="1980" w:type="dxa"/>
            <w:tcBorders>
              <w:bottom w:val="single" w:sz="4" w:space="0" w:color="auto"/>
            </w:tcBorders>
            <w:shd w:val="clear" w:color="auto" w:fill="auto"/>
            <w:vAlign w:val="center"/>
          </w:tcPr>
          <w:p w14:paraId="6F2A0AB4"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Initial II School Counselor</w:t>
            </w:r>
          </w:p>
        </w:tc>
        <w:tc>
          <w:tcPr>
            <w:tcW w:w="1983" w:type="dxa"/>
            <w:tcBorders>
              <w:bottom w:val="single" w:sz="4" w:space="0" w:color="auto"/>
            </w:tcBorders>
          </w:tcPr>
          <w:p w14:paraId="3AE9887D" w14:textId="77777777" w:rsidR="00865088" w:rsidRPr="00A9594D" w:rsidRDefault="00865088" w:rsidP="00865088">
            <w:pPr>
              <w:rPr>
                <w:rFonts w:asciiTheme="minorHAnsi" w:hAnsiTheme="minorHAnsi"/>
                <w:szCs w:val="22"/>
              </w:rPr>
            </w:pPr>
            <w:r w:rsidRPr="00A9594D">
              <w:rPr>
                <w:rFonts w:asciiTheme="minorHAnsi" w:hAnsiTheme="minorHAnsi"/>
                <w:szCs w:val="22"/>
              </w:rPr>
              <w:t xml:space="preserve">This license is no longer available under new license structure. </w:t>
            </w:r>
          </w:p>
        </w:tc>
        <w:tc>
          <w:tcPr>
            <w:tcW w:w="1306" w:type="dxa"/>
            <w:tcBorders>
              <w:bottom w:val="single" w:sz="4" w:space="0" w:color="auto"/>
            </w:tcBorders>
          </w:tcPr>
          <w:p w14:paraId="2C25E8DF"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45637519"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r w:rsidR="00865088" w:rsidRPr="00A9594D" w14:paraId="7F0D586A" w14:textId="77777777" w:rsidTr="00B0206F">
        <w:trPr>
          <w:trHeight w:val="432"/>
          <w:jc w:val="center"/>
        </w:trPr>
        <w:tc>
          <w:tcPr>
            <w:tcW w:w="1506" w:type="dxa"/>
            <w:tcBorders>
              <w:bottom w:val="single" w:sz="4" w:space="0" w:color="auto"/>
            </w:tcBorders>
            <w:shd w:val="clear" w:color="auto" w:fill="auto"/>
            <w:vAlign w:val="center"/>
          </w:tcPr>
          <w:p w14:paraId="1B6FF6B3"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Licensure</w:t>
            </w:r>
          </w:p>
        </w:tc>
        <w:tc>
          <w:tcPr>
            <w:tcW w:w="1459" w:type="dxa"/>
            <w:tcBorders>
              <w:bottom w:val="single" w:sz="4" w:space="0" w:color="auto"/>
            </w:tcBorders>
            <w:shd w:val="clear" w:color="auto" w:fill="auto"/>
            <w:vAlign w:val="center"/>
          </w:tcPr>
          <w:p w14:paraId="3157FB95" w14:textId="77777777" w:rsidR="00865088" w:rsidRPr="00A9594D" w:rsidRDefault="00865088" w:rsidP="00865088">
            <w:pPr>
              <w:shd w:val="clear" w:color="auto" w:fill="FFFFFF"/>
              <w:jc w:val="center"/>
              <w:rPr>
                <w:rFonts w:asciiTheme="minorHAnsi" w:hAnsiTheme="minorHAnsi" w:cs="Calibri"/>
                <w:bCs/>
                <w:color w:val="000000"/>
                <w:szCs w:val="22"/>
              </w:rPr>
            </w:pPr>
            <w:r w:rsidRPr="00A9594D">
              <w:rPr>
                <w:rFonts w:asciiTheme="minorHAnsi" w:hAnsiTheme="minorHAnsi" w:cs="Calibri"/>
                <w:bCs/>
                <w:color w:val="000000"/>
                <w:szCs w:val="22"/>
              </w:rPr>
              <w:t>Repeal</w:t>
            </w:r>
          </w:p>
        </w:tc>
        <w:tc>
          <w:tcPr>
            <w:tcW w:w="1530" w:type="dxa"/>
            <w:tcBorders>
              <w:bottom w:val="single" w:sz="4" w:space="0" w:color="auto"/>
            </w:tcBorders>
            <w:shd w:val="clear" w:color="auto" w:fill="auto"/>
            <w:noWrap/>
            <w:vAlign w:val="center"/>
          </w:tcPr>
          <w:p w14:paraId="175B52B5" w14:textId="77777777" w:rsidR="00865088" w:rsidRPr="00A9594D" w:rsidRDefault="00865088" w:rsidP="00865088">
            <w:pPr>
              <w:tabs>
                <w:tab w:val="left" w:pos="720"/>
              </w:tabs>
              <w:spacing w:after="100"/>
              <w:rPr>
                <w:rFonts w:asciiTheme="minorHAnsi" w:hAnsiTheme="minorHAnsi" w:cs="Helvetica"/>
                <w:bCs/>
                <w:color w:val="000000"/>
                <w:szCs w:val="22"/>
              </w:rPr>
            </w:pPr>
            <w:r w:rsidRPr="00A9594D">
              <w:rPr>
                <w:rFonts w:asciiTheme="minorHAnsi" w:hAnsiTheme="minorHAnsi" w:cs="Helvetica"/>
                <w:bCs/>
                <w:color w:val="000000"/>
                <w:szCs w:val="22"/>
              </w:rPr>
              <w:t>584-100-0041</w:t>
            </w:r>
          </w:p>
        </w:tc>
        <w:tc>
          <w:tcPr>
            <w:tcW w:w="1980" w:type="dxa"/>
            <w:tcBorders>
              <w:bottom w:val="single" w:sz="4" w:space="0" w:color="auto"/>
            </w:tcBorders>
            <w:shd w:val="clear" w:color="auto" w:fill="auto"/>
            <w:vAlign w:val="center"/>
          </w:tcPr>
          <w:p w14:paraId="2580997C" w14:textId="77777777" w:rsidR="00865088" w:rsidRPr="00A9594D" w:rsidRDefault="00865088" w:rsidP="00865088">
            <w:pPr>
              <w:tabs>
                <w:tab w:val="left" w:pos="720"/>
              </w:tabs>
              <w:spacing w:after="100"/>
              <w:rPr>
                <w:rFonts w:asciiTheme="minorHAnsi" w:hAnsiTheme="minorHAnsi" w:cs="Helvetica"/>
                <w:b/>
                <w:bCs/>
                <w:color w:val="000000"/>
                <w:szCs w:val="22"/>
              </w:rPr>
            </w:pPr>
            <w:r w:rsidRPr="00A9594D">
              <w:rPr>
                <w:rFonts w:asciiTheme="minorHAnsi" w:hAnsiTheme="minorHAnsi" w:cs="Helvetica"/>
                <w:b/>
                <w:bCs/>
                <w:color w:val="000000"/>
                <w:szCs w:val="22"/>
              </w:rPr>
              <w:t>Approved ESEA alternative route</w:t>
            </w:r>
          </w:p>
        </w:tc>
        <w:tc>
          <w:tcPr>
            <w:tcW w:w="1983" w:type="dxa"/>
            <w:tcBorders>
              <w:bottom w:val="single" w:sz="4" w:space="0" w:color="auto"/>
            </w:tcBorders>
          </w:tcPr>
          <w:p w14:paraId="518CF892" w14:textId="77777777" w:rsidR="00865088" w:rsidRPr="00A9594D" w:rsidRDefault="00865088" w:rsidP="00865088">
            <w:pPr>
              <w:rPr>
                <w:rFonts w:asciiTheme="minorHAnsi" w:hAnsiTheme="minorHAnsi"/>
                <w:szCs w:val="22"/>
              </w:rPr>
            </w:pPr>
            <w:r w:rsidRPr="00A9594D">
              <w:rPr>
                <w:rFonts w:asciiTheme="minorHAnsi" w:hAnsiTheme="minorHAnsi"/>
                <w:szCs w:val="22"/>
              </w:rPr>
              <w:t>This license is being moved to Division 210 – the new teaching license division.</w:t>
            </w:r>
          </w:p>
        </w:tc>
        <w:tc>
          <w:tcPr>
            <w:tcW w:w="1306" w:type="dxa"/>
            <w:tcBorders>
              <w:bottom w:val="single" w:sz="4" w:space="0" w:color="auto"/>
            </w:tcBorders>
          </w:tcPr>
          <w:p w14:paraId="2828E0AB" w14:textId="77777777" w:rsidR="00865088" w:rsidRPr="00A9594D" w:rsidRDefault="00865088" w:rsidP="00865088">
            <w:pPr>
              <w:rPr>
                <w:rFonts w:asciiTheme="minorHAnsi" w:hAnsiTheme="minorHAnsi"/>
                <w:b/>
                <w:szCs w:val="22"/>
              </w:rPr>
            </w:pPr>
            <w:r w:rsidRPr="00A9594D">
              <w:rPr>
                <w:rFonts w:asciiTheme="minorHAnsi" w:hAnsiTheme="minorHAnsi"/>
                <w:b/>
                <w:szCs w:val="22"/>
              </w:rPr>
              <w:t>January 21, 2016</w:t>
            </w:r>
          </w:p>
          <w:p w14:paraId="433FBB9D" w14:textId="77777777" w:rsidR="00865088" w:rsidRPr="00A9594D" w:rsidRDefault="00865088" w:rsidP="00865088">
            <w:pPr>
              <w:rPr>
                <w:rFonts w:asciiTheme="minorHAnsi" w:hAnsiTheme="minorHAnsi"/>
                <w:b/>
                <w:szCs w:val="22"/>
              </w:rPr>
            </w:pPr>
            <w:r w:rsidRPr="00A9594D">
              <w:rPr>
                <w:rFonts w:asciiTheme="minorHAnsi" w:hAnsiTheme="minorHAnsi"/>
                <w:szCs w:val="22"/>
              </w:rPr>
              <w:t>Commission Meeting</w:t>
            </w:r>
          </w:p>
        </w:tc>
      </w:tr>
    </w:tbl>
    <w:p w14:paraId="417C800B" w14:textId="2C48E58D" w:rsidR="00B517F2" w:rsidRDefault="00B517F2" w:rsidP="00942E55">
      <w:pPr>
        <w:spacing w:after="160" w:line="259" w:lineRule="auto"/>
        <w:rPr>
          <w:rFonts w:ascii="Calibri" w:eastAsia="Calibri" w:hAnsi="Calibri"/>
          <w:b/>
          <w:sz w:val="22"/>
          <w:szCs w:val="22"/>
        </w:rPr>
      </w:pPr>
    </w:p>
    <w:p w14:paraId="795721FC" w14:textId="77777777" w:rsidR="00A9594D" w:rsidRDefault="00A9594D" w:rsidP="0075156E">
      <w:pPr>
        <w:spacing w:line="259" w:lineRule="auto"/>
        <w:rPr>
          <w:rFonts w:asciiTheme="minorHAnsi" w:eastAsiaTheme="minorHAnsi" w:hAnsiTheme="minorHAnsi" w:cstheme="minorBidi"/>
          <w:b/>
          <w:sz w:val="22"/>
          <w:szCs w:val="22"/>
        </w:rPr>
      </w:pPr>
    </w:p>
    <w:p w14:paraId="1EBFAB8C" w14:textId="6352F463" w:rsidR="00A9594D" w:rsidRDefault="00A9594D" w:rsidP="0075156E">
      <w:pPr>
        <w:spacing w:line="259"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The following rules are related to “Commission Discussion” items:</w:t>
      </w:r>
    </w:p>
    <w:p w14:paraId="3A24DC06" w14:textId="77777777" w:rsidR="00A9594D" w:rsidRDefault="00A9594D" w:rsidP="0075156E">
      <w:pPr>
        <w:spacing w:line="259" w:lineRule="auto"/>
        <w:rPr>
          <w:rFonts w:asciiTheme="minorHAnsi" w:eastAsiaTheme="minorHAnsi" w:hAnsiTheme="minorHAnsi" w:cstheme="minorBidi"/>
          <w:b/>
          <w:sz w:val="22"/>
          <w:szCs w:val="22"/>
        </w:rPr>
      </w:pPr>
    </w:p>
    <w:p w14:paraId="314D49B0" w14:textId="77777777" w:rsidR="0075156E" w:rsidRPr="0075156E" w:rsidRDefault="0075156E" w:rsidP="0075156E">
      <w:pPr>
        <w:spacing w:line="259" w:lineRule="auto"/>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 xml:space="preserve">584-017-1100 Teacher Candidate Performance </w:t>
      </w:r>
      <w:commentRangeStart w:id="1"/>
      <w:r w:rsidRPr="0075156E">
        <w:rPr>
          <w:rFonts w:asciiTheme="minorHAnsi" w:eastAsiaTheme="minorHAnsi" w:hAnsiTheme="minorHAnsi" w:cstheme="minorBidi"/>
          <w:b/>
          <w:sz w:val="22"/>
          <w:szCs w:val="22"/>
        </w:rPr>
        <w:t>Assessments</w:t>
      </w:r>
      <w:commentRangeEnd w:id="1"/>
      <w:r w:rsidRPr="0075156E">
        <w:rPr>
          <w:rFonts w:asciiTheme="minorHAnsi" w:eastAsia="Calibri" w:hAnsiTheme="minorHAnsi"/>
          <w:sz w:val="22"/>
          <w:szCs w:val="22"/>
        </w:rPr>
        <w:commentReference w:id="1"/>
      </w:r>
      <w:r w:rsidRPr="0075156E">
        <w:rPr>
          <w:rFonts w:asciiTheme="minorHAnsi" w:eastAsiaTheme="minorHAnsi" w:hAnsiTheme="minorHAnsi" w:cstheme="minorBidi"/>
          <w:b/>
          <w:sz w:val="22"/>
          <w:szCs w:val="22"/>
        </w:rPr>
        <w:t xml:space="preserve"> (New rule)</w:t>
      </w:r>
    </w:p>
    <w:p w14:paraId="7D10A167"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(1)  All teacher candidates from Oregon educator preparation programs must complete a teacher candidate performance assessment prior to qualifying for a Preliminary Teaching License.</w:t>
      </w:r>
    </w:p>
    <w:p w14:paraId="020CDCAA"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(2)  The Commission has approved two performance assessments for Oregon teacher candidates:</w:t>
      </w:r>
    </w:p>
    <w:p w14:paraId="427A1D21"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lastRenderedPageBreak/>
        <w:t>(a) edTPA – a national standardized teacher performance assessment; and</w:t>
      </w:r>
    </w:p>
    <w:p w14:paraId="61BC5DBF"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(b) Oregon Teacher Work Sample as provided in subsection (4) of this rule.    </w:t>
      </w:r>
    </w:p>
    <w:p w14:paraId="1265424E"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(3)  All Oregon educator preparation programs must require their teacher candidates to complete the edTPA assessment according to the following implementation requirements:  </w:t>
      </w:r>
    </w:p>
    <w:p w14:paraId="51AD5C9D"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(a) Effective September 1, 2015, all Oregon preparation programs must have a Commission-approved number of their program candidates complete the edTPA assessment </w:t>
      </w:r>
      <w:r w:rsidRPr="0075156E">
        <w:rPr>
          <w:rFonts w:asciiTheme="minorHAnsi" w:eastAsiaTheme="minorHAnsi" w:hAnsiTheme="minorHAnsi" w:cstheme="minorBidi"/>
          <w:sz w:val="22"/>
          <w:szCs w:val="22"/>
          <w:highlight w:val="yellow"/>
        </w:rPr>
        <w:t xml:space="preserve">by </w:t>
      </w:r>
      <w:commentRangeStart w:id="2"/>
      <w:r w:rsidRPr="0075156E">
        <w:rPr>
          <w:rFonts w:asciiTheme="minorHAnsi" w:eastAsiaTheme="minorHAnsi" w:hAnsiTheme="minorHAnsi" w:cstheme="minorBidi"/>
          <w:strike/>
          <w:sz w:val="22"/>
          <w:szCs w:val="22"/>
          <w:highlight w:val="yellow"/>
        </w:rPr>
        <w:t xml:space="preserve">June </w:t>
      </w:r>
      <w:r w:rsidRPr="0075156E">
        <w:rPr>
          <w:rFonts w:asciiTheme="minorHAnsi" w:eastAsiaTheme="minorHAnsi" w:hAnsiTheme="minorHAnsi" w:cstheme="minorBidi"/>
          <w:b/>
          <w:sz w:val="22"/>
          <w:szCs w:val="22"/>
          <w:highlight w:val="yellow"/>
        </w:rPr>
        <w:t xml:space="preserve">July </w:t>
      </w:r>
      <w:commentRangeEnd w:id="2"/>
      <w:r w:rsidRPr="0075156E">
        <w:rPr>
          <w:rFonts w:ascii="Calibri" w:eastAsia="Calibri" w:hAnsi="Calibri"/>
          <w:b/>
          <w:sz w:val="16"/>
          <w:szCs w:val="16"/>
          <w:highlight w:val="yellow"/>
        </w:rPr>
        <w:commentReference w:id="2"/>
      </w:r>
      <w:r w:rsidRPr="0075156E">
        <w:rPr>
          <w:rFonts w:asciiTheme="minorHAnsi" w:eastAsiaTheme="minorHAnsi" w:hAnsiTheme="minorHAnsi" w:cstheme="minorBidi"/>
          <w:sz w:val="22"/>
          <w:szCs w:val="22"/>
          <w:highlight w:val="yellow"/>
        </w:rPr>
        <w:t>1, 2016.</w:t>
      </w:r>
      <w:r w:rsidRPr="0075156E">
        <w:rPr>
          <w:rFonts w:asciiTheme="minorHAnsi" w:eastAsiaTheme="minorHAnsi" w:hAnsiTheme="minorHAnsi" w:cstheme="minorBidi"/>
          <w:sz w:val="22"/>
          <w:szCs w:val="22"/>
        </w:rPr>
        <w:t xml:space="preserve">   </w:t>
      </w:r>
    </w:p>
    <w:p w14:paraId="02C6C84F"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(A) The Commission will base the required number of edTPA completers on 30% of 2013-14 completers that the institution reported to TSPC for the purposes of the federal Higher Education Act program completion rates. The Commission will provide the exact number of edTPA participants required to meet the 2015-2016 participation requirement to each Oregon preparation program prior to March 1, 2016. </w:t>
      </w:r>
    </w:p>
    <w:p w14:paraId="1EFF26F0"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(B) If a 2015-16 program completer does not participate in the edTPA assessment, she or he must compete the Oregon Work Sample as provided in subsection (4) of this rule. A 2015-16 program completer is defined as a candidate who completes a teaching preparation program between September 1, 2015 and August 31, 2016. </w:t>
      </w:r>
    </w:p>
    <w:p w14:paraId="3D858D6C"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(b) Effective September 1, 2016, one hundred percent of teacher candidates must complete the edTPA in order to be eligible for licensure unless a candidate meets the endorsement area exemption provided in subsection 3(c) of this rule. </w:t>
      </w:r>
    </w:p>
    <w:p w14:paraId="478F369C" w14:textId="77777777" w:rsidR="0075156E" w:rsidRPr="0075156E" w:rsidRDefault="0075156E" w:rsidP="0075156E">
      <w:pPr>
        <w:spacing w:line="259" w:lineRule="auto"/>
        <w:rPr>
          <w:rFonts w:asciiTheme="minorHAnsi" w:eastAsiaTheme="minorHAnsi" w:hAnsiTheme="minorHAnsi" w:cstheme="minorBidi"/>
          <w:sz w:val="22"/>
          <w:szCs w:val="22"/>
          <w:highlight w:val="yellow"/>
        </w:rPr>
      </w:pPr>
      <w:r w:rsidRPr="0075156E">
        <w:rPr>
          <w:rFonts w:asciiTheme="minorHAnsi" w:eastAsiaTheme="minorHAnsi" w:hAnsiTheme="minorHAnsi" w:cstheme="minorBidi"/>
          <w:sz w:val="22"/>
          <w:szCs w:val="22"/>
        </w:rPr>
        <w:t xml:space="preserve">(c) Effective September 1, 2016, only one Oregon Work Sample will be required for teacher candidates in program areas that do not have an edTPA assessment. Oregon educator preparation programs may use the Oregon Teacher Work Sample in place of the edTPA assessment only if no comparable edTPA assessment exists for the subject-matter endorsement area or where an edTPA assessment has not yet been adopted by the Commission. </w:t>
      </w:r>
    </w:p>
    <w:p w14:paraId="5C2ED85C"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(d) Scores on the edTPA assessment are subject to the following conditions:</w:t>
      </w:r>
    </w:p>
    <w:p w14:paraId="0C2F2B86"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(A) Between September 1, 2015 and August 31, 2017, the results of the edTPA performance assessment are non-consequential.  Oregon teacher candidates will not be required to have a passing score on the assessment for program completion as defined by OAR 584-010-0100 or for eligibility for the Preliminary Teaching License;</w:t>
      </w:r>
    </w:p>
    <w:p w14:paraId="08A56EF4"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(B) Effective September 1, 2017, all Oregon teacher candidates must receive a passing score on the edTPA assessment to be eligible for the Preliminary Teaching License (OAR 584-210-0030) unless the candidate meets the requirements for the exemption to the edTPA assessment as provided in subsection (3)(c) of this rule.</w:t>
      </w:r>
    </w:p>
    <w:p w14:paraId="4D9E2DC1"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(C) The Commission will set the passing score levels for the edTPA prior to September 1, 2017.  </w:t>
      </w:r>
    </w:p>
    <w:p w14:paraId="484E17E9"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(e) Failure to meet the requirements for edTPA implementation as required by this subsection may result in loss of candidate eligibility for licensure. </w:t>
      </w:r>
    </w:p>
    <w:p w14:paraId="76F81477"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(4) To qualify as an Oregon Work Sample, a teacher performance assessment must include:</w:t>
      </w:r>
    </w:p>
    <w:p w14:paraId="26361CBB"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(a) Context of the school and classroom is explained, learners with special needs, TAG learners, ESOL learners and learners from diverse cultural, linguistic and social backgrounds are described, adaptations for their learning needs are discussed, and prerequisite skills required for the unit are considered; </w:t>
      </w:r>
    </w:p>
    <w:p w14:paraId="04F90362"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(b) Goals for the unit of study, that vary in kind and complexity, but that include concept attainment and application of knowledge and skills; </w:t>
      </w:r>
    </w:p>
    <w:p w14:paraId="60038B16"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(c) Instructional plans to accomplish the learning goals for all groups of students that includes differentiation of instruction for all students listed in section (a) above; </w:t>
      </w:r>
    </w:p>
    <w:p w14:paraId="02FBA596"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(d) Data on learning gains resulting from instruction, analyzed for each student, and summarized in relation to students' level of knowledge prior to instruction; </w:t>
      </w:r>
    </w:p>
    <w:p w14:paraId="0B0C0FC3"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(e) Interpretation and explanation of the learning gains, or lack thereof; </w:t>
      </w:r>
    </w:p>
    <w:p w14:paraId="68C55C05"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(f) A description of the uses to be made of the data on learning gains in planning subsequent instruction and in reporting student progress to the students and their parents; and </w:t>
      </w:r>
    </w:p>
    <w:p w14:paraId="766814C7"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(g) Purposeful attention to literacy instruction based upon content requirements, appropriate authorization level and student needs in at least one subject. </w:t>
      </w:r>
    </w:p>
    <w:p w14:paraId="11F21992" w14:textId="77777777" w:rsidR="0075156E" w:rsidRPr="0075156E" w:rsidRDefault="0075156E" w:rsidP="0075156E">
      <w:pPr>
        <w:rPr>
          <w:rFonts w:asciiTheme="minorHAnsi" w:eastAsiaTheme="minorHAnsi" w:hAnsiTheme="minorHAnsi"/>
          <w:sz w:val="22"/>
          <w:szCs w:val="22"/>
        </w:rPr>
      </w:pPr>
      <w:r w:rsidRPr="0075156E">
        <w:rPr>
          <w:rFonts w:asciiTheme="minorHAnsi" w:hAnsiTheme="minorHAnsi"/>
          <w:color w:val="000000"/>
          <w:sz w:val="22"/>
          <w:szCs w:val="22"/>
        </w:rPr>
        <w:lastRenderedPageBreak/>
        <w:t>Stat. Auth.: ORS 342</w:t>
      </w:r>
      <w:r w:rsidRPr="0075156E">
        <w:rPr>
          <w:rFonts w:asciiTheme="minorHAnsi" w:hAnsiTheme="minorHAnsi"/>
          <w:color w:val="000000"/>
          <w:sz w:val="22"/>
          <w:szCs w:val="22"/>
        </w:rPr>
        <w:br/>
        <w:t>Stats. Implemented: ORS 342.127, ORS 342.135, ORS 342.140, ORS 342.143, ORS 342.147, ORS 342.165, ORS 342.175 &amp; ORS 342.176</w:t>
      </w:r>
      <w:r w:rsidRPr="0075156E">
        <w:rPr>
          <w:rFonts w:asciiTheme="minorHAnsi" w:hAnsiTheme="minorHAnsi"/>
          <w:color w:val="000000"/>
          <w:sz w:val="22"/>
          <w:szCs w:val="22"/>
        </w:rPr>
        <w:br/>
        <w:t xml:space="preserve">Hist.: </w:t>
      </w:r>
    </w:p>
    <w:p w14:paraId="0FCBB282" w14:textId="77777777" w:rsidR="0075156E" w:rsidRPr="0075156E" w:rsidRDefault="0075156E" w:rsidP="0075156E">
      <w:pPr>
        <w:rPr>
          <w:rFonts w:asciiTheme="minorHAnsi" w:eastAsiaTheme="minorHAnsi" w:hAnsiTheme="minorHAnsi"/>
          <w:sz w:val="22"/>
          <w:szCs w:val="22"/>
        </w:rPr>
      </w:pPr>
    </w:p>
    <w:p w14:paraId="4CF208BC"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(4) Expiration of License: A license, certificate or registration is expired one day after the expiration date on the license, certificate or registration unless the license, registration or certificate is eligible for the grace period.</w:t>
      </w:r>
    </w:p>
    <w:p w14:paraId="7C45E4B1"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 xml:space="preserve">(a) The grace period is active for 120 days after the expiration date of a license, registration and certificate. </w:t>
      </w:r>
    </w:p>
    <w:p w14:paraId="206356AF"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 xml:space="preserve">(b) To activate the 120 day grace period, an applicant must submit a correct and complete application and all required fees prior to the expiration date. </w:t>
      </w:r>
    </w:p>
    <w:p w14:paraId="1E013F22" w14:textId="77777777" w:rsidR="0075156E" w:rsidRPr="0075156E" w:rsidRDefault="0075156E" w:rsidP="0075156E">
      <w:pPr>
        <w:rPr>
          <w:rFonts w:asciiTheme="minorHAnsi" w:hAnsiTheme="minorHAnsi"/>
          <w:b/>
          <w:sz w:val="22"/>
          <w:szCs w:val="22"/>
        </w:rPr>
      </w:pPr>
      <w:r w:rsidRPr="0075156E">
        <w:rPr>
          <w:rFonts w:asciiTheme="minorHAnsi" w:eastAsiaTheme="minorHAnsi" w:hAnsiTheme="minorHAnsi" w:cstheme="minorBidi"/>
          <w:b/>
          <w:sz w:val="22"/>
          <w:szCs w:val="22"/>
        </w:rPr>
        <w:t xml:space="preserve">(A) If it is determined that the application was not correct or complete after the grace period is activated, </w:t>
      </w:r>
      <w:r w:rsidRPr="0075156E">
        <w:rPr>
          <w:rFonts w:asciiTheme="minorHAnsi" w:hAnsiTheme="minorHAnsi"/>
          <w:b/>
          <w:sz w:val="22"/>
          <w:szCs w:val="22"/>
        </w:rPr>
        <w:t xml:space="preserve">the applicant has the remainder of the 120 grace period to correct the incomplete application.  </w:t>
      </w:r>
    </w:p>
    <w:p w14:paraId="30DFC0BD"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 xml:space="preserve">(B) </w:t>
      </w:r>
      <w:r w:rsidRPr="0075156E">
        <w:rPr>
          <w:rFonts w:asciiTheme="minorHAnsi" w:hAnsiTheme="minorHAnsi"/>
          <w:b/>
          <w:sz w:val="22"/>
          <w:szCs w:val="22"/>
        </w:rPr>
        <w:t xml:space="preserve">If the application is not corrected by the expiration of the 120 </w:t>
      </w:r>
      <w:commentRangeStart w:id="3"/>
      <w:r w:rsidRPr="0075156E">
        <w:rPr>
          <w:rFonts w:asciiTheme="minorHAnsi" w:hAnsiTheme="minorHAnsi"/>
          <w:b/>
          <w:sz w:val="22"/>
          <w:szCs w:val="22"/>
        </w:rPr>
        <w:t xml:space="preserve">day grace period, the </w:t>
      </w:r>
      <w:commentRangeEnd w:id="3"/>
      <w:r w:rsidRPr="0075156E">
        <w:rPr>
          <w:rFonts w:ascii="Calibri" w:eastAsia="Calibri" w:hAnsi="Calibri"/>
          <w:sz w:val="16"/>
          <w:szCs w:val="16"/>
        </w:rPr>
        <w:commentReference w:id="3"/>
      </w:r>
      <w:r w:rsidRPr="0075156E">
        <w:rPr>
          <w:rFonts w:asciiTheme="minorHAnsi" w:hAnsiTheme="minorHAnsi"/>
          <w:b/>
          <w:sz w:val="22"/>
          <w:szCs w:val="22"/>
        </w:rPr>
        <w:t xml:space="preserve">applicant must submit a new application for reinstatement of the license, registration or certificate and pay reinstatement fees.  The applicant will forfeit the previous application fees and any late fees paid on the prior application. </w:t>
      </w:r>
    </w:p>
    <w:p w14:paraId="12F1CDC8"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(c) If an applicant submits a correct and complete application and all required fees after the expiration date, the license, registration or certificate will be processed according to the following provisions:</w:t>
      </w:r>
    </w:p>
    <w:p w14:paraId="61703132"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(A) Submission after expiration date until the end of the expiration month:  Applicant pays $40 late fees plus all other required fees;</w:t>
      </w:r>
    </w:p>
    <w:p w14:paraId="281C2634"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(B) Submission in second month after expiration date: Applicant pays $80 late fees plus all other required fees;</w:t>
      </w:r>
    </w:p>
    <w:p w14:paraId="5AF266F7"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(C) Submission in third month after expiration date: Applicant pays $120 late fees plus all other required fees;</w:t>
      </w:r>
    </w:p>
    <w:p w14:paraId="2064F5E9"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(D) Submission in fourth month after expiration date up to 120 days after expiration date: Applicant pays $160 late fees plus all other required fees</w:t>
      </w:r>
    </w:p>
    <w:p w14:paraId="5C3ABFDD"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highlight w:val="yellow"/>
        </w:rPr>
        <w:t>(E) Submission on 121 days or more after expiration date: Applicant pays for new application for reinstatement, reinstatement fees and all other required fees.</w:t>
      </w:r>
      <w:r w:rsidRPr="0075156E">
        <w:rPr>
          <w:rFonts w:asciiTheme="minorHAnsi" w:eastAsiaTheme="minorHAnsi" w:hAnsiTheme="minorHAnsi" w:cstheme="minorBidi"/>
          <w:b/>
          <w:sz w:val="22"/>
          <w:szCs w:val="22"/>
        </w:rPr>
        <w:t xml:space="preserve"> </w:t>
      </w:r>
    </w:p>
    <w:p w14:paraId="54DF616B"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(F) (As it applies to subsections (A) through (D) above, the applicant will receive a grace period from the date of application until 120 days after the expiration date.</w:t>
      </w:r>
    </w:p>
    <w:p w14:paraId="18A92170" w14:textId="77777777" w:rsidR="0075156E" w:rsidRPr="0075156E" w:rsidRDefault="0075156E" w:rsidP="0075156E">
      <w:pPr>
        <w:rPr>
          <w:rFonts w:asciiTheme="minorHAnsi" w:hAnsiTheme="minorHAnsi"/>
          <w:b/>
          <w:sz w:val="22"/>
          <w:szCs w:val="22"/>
        </w:rPr>
      </w:pPr>
      <w:r w:rsidRPr="0075156E">
        <w:rPr>
          <w:rFonts w:asciiTheme="minorHAnsi" w:eastAsiaTheme="minorHAnsi" w:hAnsiTheme="minorHAnsi" w:cstheme="minorBidi"/>
          <w:b/>
          <w:sz w:val="22"/>
          <w:szCs w:val="22"/>
        </w:rPr>
        <w:t xml:space="preserve">(G)  If it is determined that the application was not correct or complete after the grace period is activated, </w:t>
      </w:r>
      <w:r w:rsidRPr="0075156E">
        <w:rPr>
          <w:rFonts w:asciiTheme="minorHAnsi" w:hAnsiTheme="minorHAnsi"/>
          <w:b/>
          <w:sz w:val="22"/>
          <w:szCs w:val="22"/>
        </w:rPr>
        <w:t>the applicant has the remainder of the 120 grace period to correct the incomplete application.  If the application is not corrected by the expiration of the 120 day grace period, the applicant must submit a new application for reinstatement of the license, registration or certificate and pay reinstatement fees.  The applicant will forfeit the previous application fees and any late fees paid on the prior application.</w:t>
      </w:r>
    </w:p>
    <w:p w14:paraId="2B7477D1"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 xml:space="preserve">(H) If an applicant submits a correct a complete application prior to the expiration of the 120 day grace period, the renewal period of the license, registration or certificate will start one day after the original expiration date.  </w:t>
      </w:r>
    </w:p>
    <w:p w14:paraId="2E255442" w14:textId="77777777" w:rsidR="0075156E" w:rsidRPr="0075156E" w:rsidRDefault="0075156E" w:rsidP="0075156E">
      <w:pPr>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(d) The following licenses are not eligible for 120 grace period due to renewal restrictions:</w:t>
      </w:r>
    </w:p>
    <w:p w14:paraId="691E3ED1" w14:textId="77777777" w:rsidR="0075156E" w:rsidRPr="0075156E" w:rsidRDefault="0075156E" w:rsidP="0075156E">
      <w:pPr>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(A) Emergency licenses; (Not eligible for renewal);</w:t>
      </w:r>
    </w:p>
    <w:p w14:paraId="485CC5C5" w14:textId="77777777" w:rsidR="0075156E" w:rsidRPr="0075156E" w:rsidRDefault="0075156E" w:rsidP="0075156E">
      <w:pPr>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(B) Restricted licenses; (Eligible for reissue only);</w:t>
      </w:r>
    </w:p>
    <w:p w14:paraId="2A1BFB59" w14:textId="77777777" w:rsidR="0075156E" w:rsidRPr="0075156E" w:rsidRDefault="0075156E" w:rsidP="0075156E">
      <w:pPr>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 xml:space="preserve">(C) </w:t>
      </w:r>
      <w:commentRangeStart w:id="4"/>
      <w:r w:rsidRPr="0075156E">
        <w:rPr>
          <w:rFonts w:asciiTheme="minorHAnsi" w:eastAsiaTheme="minorHAnsi" w:hAnsiTheme="minorHAnsi" w:cstheme="minorBidi"/>
          <w:b/>
          <w:sz w:val="22"/>
          <w:szCs w:val="22"/>
        </w:rPr>
        <w:t>International Visiting Teacher License: (Eligible for reissue only);</w:t>
      </w:r>
      <w:commentRangeEnd w:id="4"/>
      <w:r w:rsidRPr="0075156E">
        <w:rPr>
          <w:rFonts w:asciiTheme="minorHAnsi" w:eastAsia="Calibri" w:hAnsiTheme="minorHAnsi"/>
          <w:sz w:val="22"/>
          <w:szCs w:val="22"/>
        </w:rPr>
        <w:commentReference w:id="4"/>
      </w:r>
    </w:p>
    <w:p w14:paraId="0E864493" w14:textId="77777777" w:rsidR="0075156E" w:rsidRPr="0075156E" w:rsidRDefault="0075156E" w:rsidP="0075156E">
      <w:pPr>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(D) Restricted Substitute Teaching License if issued for one-year term; </w:t>
      </w:r>
    </w:p>
    <w:p w14:paraId="50017A91" w14:textId="77777777" w:rsidR="0075156E" w:rsidRPr="0075156E" w:rsidRDefault="0075156E" w:rsidP="0075156E">
      <w:pPr>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(E) License for Conditional Assignment. (Eligible for reauthorization only)</w:t>
      </w:r>
    </w:p>
    <w:p w14:paraId="63C7EB3C" w14:textId="77777777" w:rsidR="0075156E" w:rsidRPr="0075156E" w:rsidRDefault="0075156E" w:rsidP="0075156E">
      <w:pPr>
        <w:rPr>
          <w:rFonts w:asciiTheme="minorHAnsi" w:eastAsiaTheme="minorHAnsi" w:hAnsiTheme="minorHAnsi" w:cstheme="minorBidi"/>
          <w:b/>
          <w:sz w:val="22"/>
          <w:szCs w:val="22"/>
        </w:rPr>
      </w:pPr>
    </w:p>
    <w:p w14:paraId="07983F7B" w14:textId="77777777" w:rsidR="0075156E" w:rsidRPr="0075156E" w:rsidRDefault="0075156E" w:rsidP="0075156E">
      <w:pPr>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Stat. Auth.: ORS 181 &amp; 342</w:t>
      </w:r>
    </w:p>
    <w:p w14:paraId="76C80DA0" w14:textId="77777777" w:rsidR="0075156E" w:rsidRPr="0075156E" w:rsidRDefault="0075156E" w:rsidP="0075156E">
      <w:pPr>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Stats. Implemented: ORS 181.525, 342.120 -342.430 &amp; 342.985</w:t>
      </w:r>
    </w:p>
    <w:p w14:paraId="1011B3FF" w14:textId="77777777" w:rsidR="00B517F2" w:rsidRDefault="00B517F2" w:rsidP="00B84C9E">
      <w:pPr>
        <w:spacing w:after="160" w:line="259" w:lineRule="auto"/>
        <w:rPr>
          <w:rFonts w:ascii="Calibri" w:eastAsia="Calibri" w:hAnsi="Calibri"/>
          <w:b/>
          <w:sz w:val="22"/>
          <w:szCs w:val="22"/>
        </w:rPr>
      </w:pPr>
    </w:p>
    <w:p w14:paraId="059943AC" w14:textId="77777777" w:rsidR="0075156E" w:rsidRPr="0075156E" w:rsidRDefault="0075156E" w:rsidP="0075156E">
      <w:pPr>
        <w:spacing w:line="259" w:lineRule="auto"/>
        <w:rPr>
          <w:rFonts w:asciiTheme="minorHAnsi" w:eastAsiaTheme="minorHAnsi" w:hAnsiTheme="minorHAnsi" w:cstheme="minorBidi"/>
          <w:b/>
          <w:sz w:val="22"/>
          <w:szCs w:val="22"/>
        </w:rPr>
      </w:pPr>
      <w:r w:rsidRPr="0075156E">
        <w:rPr>
          <w:rFonts w:asciiTheme="minorHAnsi" w:eastAsiaTheme="minorHAnsi" w:hAnsiTheme="minorHAnsi" w:cstheme="minorBidi"/>
          <w:b/>
          <w:sz w:val="22"/>
          <w:szCs w:val="22"/>
        </w:rPr>
        <w:t>584-225-0060</w:t>
      </w:r>
      <w:r w:rsidRPr="0075156E">
        <w:rPr>
          <w:rFonts w:asciiTheme="minorHAnsi" w:eastAsiaTheme="minorHAnsi" w:hAnsiTheme="minorHAnsi" w:cstheme="minorBidi"/>
          <w:b/>
          <w:sz w:val="22"/>
          <w:szCs w:val="22"/>
        </w:rPr>
        <w:br/>
        <w:t>Dual Language Specialization</w:t>
      </w:r>
    </w:p>
    <w:p w14:paraId="63C5DA19" w14:textId="77777777" w:rsidR="0075156E" w:rsidRPr="0075156E" w:rsidRDefault="0075156E" w:rsidP="0075156E">
      <w:pPr>
        <w:rPr>
          <w:rFonts w:asciiTheme="minorHAnsi" w:hAnsiTheme="minorHAnsi"/>
          <w:color w:val="000000"/>
          <w:sz w:val="22"/>
          <w:szCs w:val="22"/>
        </w:rPr>
      </w:pPr>
      <w:r w:rsidRPr="0075156E">
        <w:rPr>
          <w:rFonts w:asciiTheme="minorHAnsi" w:eastAsiaTheme="minorHAnsi" w:hAnsiTheme="minorHAnsi" w:cstheme="minorBidi"/>
          <w:color w:val="000000"/>
          <w:sz w:val="22"/>
          <w:szCs w:val="22"/>
        </w:rPr>
        <w:t xml:space="preserve">(1) Purpose: </w:t>
      </w:r>
      <w:r w:rsidRPr="0075156E">
        <w:rPr>
          <w:rFonts w:asciiTheme="minorHAnsi" w:hAnsiTheme="minorHAnsi"/>
          <w:color w:val="000000"/>
          <w:sz w:val="22"/>
          <w:szCs w:val="22"/>
        </w:rPr>
        <w:t>A Dual Language</w:t>
      </w:r>
      <w:r w:rsidRPr="0075156E">
        <w:rPr>
          <w:rFonts w:asciiTheme="minorHAnsi" w:eastAsiaTheme="minorHAnsi" w:hAnsiTheme="minorHAnsi" w:cstheme="minorBidi"/>
          <w:sz w:val="22"/>
          <w:szCs w:val="22"/>
        </w:rPr>
        <w:t xml:space="preserve"> </w:t>
      </w:r>
      <w:r w:rsidRPr="0075156E">
        <w:rPr>
          <w:rFonts w:asciiTheme="minorHAnsi" w:hAnsiTheme="minorHAnsi"/>
          <w:color w:val="000000"/>
          <w:sz w:val="22"/>
          <w:szCs w:val="22"/>
        </w:rPr>
        <w:t>specialization indicates that an educator has obtained additional and specialized preparation to teach prekindergarten through grade 12 students in dual language learning environments</w:t>
      </w:r>
      <w:r w:rsidRPr="0075156E">
        <w:rPr>
          <w:rFonts w:asciiTheme="minorHAnsi" w:eastAsiaTheme="minorHAnsi" w:hAnsiTheme="minorHAnsi" w:cstheme="minorBidi"/>
          <w:sz w:val="22"/>
          <w:szCs w:val="22"/>
        </w:rPr>
        <w:t>.</w:t>
      </w:r>
    </w:p>
    <w:p w14:paraId="384CEF43" w14:textId="77777777" w:rsidR="0075156E" w:rsidRPr="0075156E" w:rsidRDefault="0075156E" w:rsidP="0075156E">
      <w:pPr>
        <w:rPr>
          <w:rFonts w:asciiTheme="minorHAnsi" w:hAnsiTheme="minorHAnsi" w:cs="Helvetica"/>
          <w:color w:val="000000"/>
          <w:sz w:val="22"/>
          <w:szCs w:val="22"/>
        </w:rPr>
      </w:pPr>
      <w:r w:rsidRPr="0075156E">
        <w:rPr>
          <w:rFonts w:asciiTheme="minorHAnsi" w:hAnsiTheme="minorHAnsi"/>
          <w:color w:val="000000"/>
          <w:sz w:val="22"/>
          <w:szCs w:val="22"/>
        </w:rPr>
        <w:lastRenderedPageBreak/>
        <w:t xml:space="preserve">(2) </w:t>
      </w:r>
      <w:r w:rsidRPr="0075156E">
        <w:rPr>
          <w:rFonts w:asciiTheme="minorHAnsi" w:hAnsiTheme="minorHAnsi" w:cs="Helvetica"/>
          <w:color w:val="000000"/>
          <w:sz w:val="22"/>
          <w:szCs w:val="22"/>
        </w:rPr>
        <w:t>A specialization is an optional indication of specialized expertise or preparation in an area the Commission recognizes as “added value” on a license. A specialization indicates the educator has demonstrated exceptional knowledge, skills and related abilities in that area. A specialization must meet standards set by the Commission.  A specialization is not required to teach in the specialization area indicated on the license.</w:t>
      </w:r>
    </w:p>
    <w:p w14:paraId="7A83B2AE" w14:textId="77777777" w:rsidR="0075156E" w:rsidRPr="0075156E" w:rsidRDefault="0075156E" w:rsidP="0075156E">
      <w:pPr>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(3) Eligibility Requirements: To be eligible to add a Dual Language specialization to a Preliminary, Professional, Teacher Leader or Legacy Teaching License, an applicant must:</w:t>
      </w:r>
    </w:p>
    <w:p w14:paraId="296AB925"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(a) Possess a valid Oregon teaching license </w:t>
      </w:r>
      <w:r w:rsidRPr="0075156E">
        <w:rPr>
          <w:rFonts w:asciiTheme="minorHAnsi" w:eastAsiaTheme="minorHAnsi" w:hAnsiTheme="minorHAnsi" w:cstheme="minorBidi"/>
          <w:sz w:val="22"/>
          <w:szCs w:val="22"/>
          <w:highlight w:val="yellow"/>
        </w:rPr>
        <w:t xml:space="preserve">with a </w:t>
      </w:r>
      <w:commentRangeStart w:id="5"/>
      <w:r w:rsidRPr="0075156E">
        <w:rPr>
          <w:rFonts w:asciiTheme="minorHAnsi" w:eastAsiaTheme="minorHAnsi" w:hAnsiTheme="minorHAnsi" w:cstheme="minorBidi"/>
          <w:sz w:val="22"/>
          <w:szCs w:val="22"/>
          <w:highlight w:val="yellow"/>
        </w:rPr>
        <w:t xml:space="preserve">World Language endorsement; </w:t>
      </w:r>
      <w:commentRangeEnd w:id="5"/>
      <w:r w:rsidRPr="0075156E">
        <w:rPr>
          <w:rFonts w:ascii="Calibri" w:eastAsia="Calibri" w:hAnsi="Calibri"/>
          <w:sz w:val="16"/>
          <w:szCs w:val="16"/>
          <w:highlight w:val="yellow"/>
        </w:rPr>
        <w:commentReference w:id="5"/>
      </w:r>
    </w:p>
    <w:p w14:paraId="7E4D84B3"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(b) Complete a Commission-approved Dual Language specialization program in accordance with 584-420-0630.</w:t>
      </w:r>
    </w:p>
    <w:p w14:paraId="7EE8B312" w14:textId="77777777" w:rsidR="0075156E" w:rsidRPr="0075156E" w:rsidRDefault="0075156E" w:rsidP="0075156E">
      <w:pPr>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(c) At least fifty percent (50%) of the Dual Language program coursework must have been completed within five years prior to the date of application for the specialization; and  </w:t>
      </w:r>
    </w:p>
    <w:p w14:paraId="402AB70B" w14:textId="77777777" w:rsidR="0075156E" w:rsidRPr="0075156E" w:rsidRDefault="0075156E" w:rsidP="0075156E">
      <w:pPr>
        <w:rPr>
          <w:rFonts w:asciiTheme="minorHAnsi" w:hAnsiTheme="minorHAnsi" w:cs="Helvetica"/>
          <w:bCs/>
          <w:sz w:val="22"/>
          <w:szCs w:val="22"/>
        </w:rPr>
      </w:pPr>
      <w:r w:rsidRPr="0075156E">
        <w:rPr>
          <w:rFonts w:asciiTheme="minorHAnsi" w:hAnsiTheme="minorHAnsi" w:cs="Helvetica"/>
          <w:sz w:val="22"/>
          <w:szCs w:val="22"/>
        </w:rPr>
        <w:t xml:space="preserve">(d) Submit a complete and correct application to obtain the specialization in the form and manner required by the Commission, including payment of all required fees as provided in OAR </w:t>
      </w:r>
      <w:r w:rsidRPr="0075156E">
        <w:rPr>
          <w:rFonts w:asciiTheme="minorHAnsi" w:hAnsiTheme="minorHAnsi" w:cs="Helvetica"/>
          <w:bCs/>
          <w:sz w:val="22"/>
          <w:szCs w:val="22"/>
        </w:rPr>
        <w:t xml:space="preserve">584-200-0050. </w:t>
      </w:r>
    </w:p>
    <w:p w14:paraId="41BD046D" w14:textId="77777777" w:rsidR="0075156E" w:rsidRPr="0075156E" w:rsidRDefault="0075156E" w:rsidP="0075156E">
      <w:pPr>
        <w:rPr>
          <w:rFonts w:asciiTheme="minorHAnsi" w:hAnsiTheme="minorHAnsi"/>
          <w:i/>
          <w:color w:val="000000"/>
          <w:sz w:val="22"/>
          <w:szCs w:val="22"/>
        </w:rPr>
      </w:pPr>
      <w:r w:rsidRPr="0075156E">
        <w:rPr>
          <w:rFonts w:asciiTheme="minorHAnsi" w:hAnsiTheme="minorHAnsi"/>
          <w:i/>
          <w:color w:val="000000"/>
          <w:sz w:val="22"/>
          <w:szCs w:val="22"/>
        </w:rPr>
        <w:t>[Note: Adding the specialization at the time of renewal will not require an additional cost to the licensure renewal process.]</w:t>
      </w:r>
    </w:p>
    <w:p w14:paraId="0B5FA4DD"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(4) A Dual Language specialization may not be added to a provisional license. </w:t>
      </w:r>
    </w:p>
    <w:p w14:paraId="6F446EE6"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(5) The specialization will appear on a license as follows: Specialization: Dual Language.</w:t>
      </w:r>
    </w:p>
    <w:p w14:paraId="2F5F6BBC" w14:textId="77777777" w:rsidR="0075156E" w:rsidRPr="0075156E" w:rsidRDefault="0075156E" w:rsidP="0075156E">
      <w:pPr>
        <w:spacing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(6) Once the specialization is indicated on a license, it may only be removed at the educator’s request. </w:t>
      </w:r>
    </w:p>
    <w:p w14:paraId="7AB4E0A3" w14:textId="77777777" w:rsidR="0075156E" w:rsidRPr="0075156E" w:rsidRDefault="0075156E" w:rsidP="0075156E">
      <w:pPr>
        <w:spacing w:after="160" w:line="259" w:lineRule="auto"/>
        <w:rPr>
          <w:rFonts w:asciiTheme="minorHAnsi" w:eastAsiaTheme="minorHAnsi" w:hAnsiTheme="minorHAnsi" w:cstheme="minorBidi"/>
          <w:sz w:val="22"/>
          <w:szCs w:val="22"/>
        </w:rPr>
      </w:pPr>
      <w:r w:rsidRPr="0075156E">
        <w:rPr>
          <w:rFonts w:asciiTheme="minorHAnsi" w:eastAsiaTheme="minorHAnsi" w:hAnsiTheme="minorHAnsi" w:cstheme="minorBidi"/>
          <w:sz w:val="22"/>
          <w:szCs w:val="22"/>
        </w:rPr>
        <w:t xml:space="preserve">Stat. Auth.: ORS 342 </w:t>
      </w:r>
      <w:r w:rsidRPr="0075156E">
        <w:rPr>
          <w:rFonts w:asciiTheme="minorHAnsi" w:eastAsiaTheme="minorHAnsi" w:hAnsiTheme="minorHAnsi" w:cstheme="minorBidi"/>
          <w:sz w:val="22"/>
          <w:szCs w:val="22"/>
        </w:rPr>
        <w:br/>
        <w:t xml:space="preserve">Stats. Implemented: ORS 342.120 - 342.430, 342.455 - 342.495 &amp; 342.553 </w:t>
      </w:r>
      <w:r w:rsidRPr="0075156E">
        <w:rPr>
          <w:rFonts w:asciiTheme="minorHAnsi" w:eastAsiaTheme="minorHAnsi" w:hAnsiTheme="minorHAnsi" w:cstheme="minorBidi"/>
          <w:sz w:val="22"/>
          <w:szCs w:val="22"/>
        </w:rPr>
        <w:br/>
        <w:t xml:space="preserve">Hist.: </w:t>
      </w:r>
    </w:p>
    <w:p w14:paraId="6C54A1D3"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584-210-0090 International Visiting Teacher License</w:t>
      </w:r>
    </w:p>
    <w:p w14:paraId="05D0FAAA"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(1) Purpose of the License: </w:t>
      </w:r>
      <w:r w:rsidRPr="0075156E">
        <w:rPr>
          <w:rFonts w:asciiTheme="minorHAnsi" w:eastAsia="Calibri" w:hAnsiTheme="minorHAnsi" w:cs="Arial"/>
          <w:b/>
          <w:color w:val="000000"/>
          <w:sz w:val="22"/>
          <w:szCs w:val="22"/>
        </w:rPr>
        <w:t xml:space="preserve">The International Visiting Teacher License is </w:t>
      </w:r>
      <w:commentRangeStart w:id="6"/>
      <w:r w:rsidRPr="0075156E">
        <w:rPr>
          <w:rFonts w:asciiTheme="minorHAnsi" w:eastAsia="Calibri" w:hAnsiTheme="minorHAnsi" w:cs="Arial"/>
          <w:b/>
          <w:color w:val="000000"/>
          <w:sz w:val="22"/>
          <w:szCs w:val="22"/>
        </w:rPr>
        <w:t>issued</w:t>
      </w:r>
      <w:commentRangeEnd w:id="6"/>
      <w:r w:rsidRPr="0075156E">
        <w:rPr>
          <w:rFonts w:asciiTheme="minorHAnsi" w:eastAsiaTheme="minorHAnsi" w:hAnsiTheme="minorHAnsi" w:cstheme="minorBidi"/>
          <w:b/>
          <w:sz w:val="22"/>
          <w:szCs w:val="22"/>
        </w:rPr>
        <w:commentReference w:id="6"/>
      </w:r>
      <w:r w:rsidRPr="0075156E">
        <w:rPr>
          <w:rFonts w:asciiTheme="minorHAnsi" w:eastAsia="Calibri" w:hAnsiTheme="minorHAnsi" w:cs="Arial"/>
          <w:b/>
          <w:color w:val="000000"/>
          <w:sz w:val="22"/>
          <w:szCs w:val="22"/>
        </w:rPr>
        <w:t xml:space="preserve"> to educators who permanently reside in another country and who are participating in a cultural exchange of teachers and pedagogy strategies between Oregon and their home country.</w:t>
      </w:r>
      <w:r w:rsidRPr="0075156E">
        <w:rPr>
          <w:rFonts w:asciiTheme="minorHAnsi" w:eastAsia="Calibri" w:hAnsiTheme="minorHAnsi" w:cs="Arial"/>
          <w:color w:val="000000"/>
          <w:sz w:val="22"/>
          <w:szCs w:val="22"/>
        </w:rPr>
        <w:t xml:space="preserve"> </w:t>
      </w:r>
      <w:r w:rsidRPr="0075156E">
        <w:rPr>
          <w:rFonts w:asciiTheme="minorHAnsi" w:eastAsia="Calibri" w:hAnsiTheme="minorHAnsi"/>
          <w:strike/>
          <w:sz w:val="22"/>
          <w:szCs w:val="22"/>
        </w:rPr>
        <w:t>The International Visiting Teaching License qualifies its holder to teach in a prekindergarten through grade 12 Oregon public school district, education service districts, and charter school assignments. The purpose of the International Visiting Teacher License is to provide up to a three-year cultural exchange of teachers and teaching strategies between Oregon and a participating country other than the United States</w:t>
      </w:r>
    </w:p>
    <w:p w14:paraId="3D2D0B86"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(2) District Sponsorship:  The International Visiting Teacher License requires district sponsorship.  The sponsoring district must submit a letter:</w:t>
      </w:r>
    </w:p>
    <w:p w14:paraId="041FDD43"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(a) Specifying the grade level(s) and subject-matter endorsement area(s) the applicant has been hired to teach;</w:t>
      </w:r>
    </w:p>
    <w:p w14:paraId="5578150D"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(b) Describing the district’s plan for supervision of the teacher;</w:t>
      </w:r>
    </w:p>
    <w:p w14:paraId="7ACC7906"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(c) Describing the district’s plan to provide a mentor for the applicant. The plan must specifically identify the mentor; and</w:t>
      </w:r>
    </w:p>
    <w:p w14:paraId="114BCB33"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(d) Assuring the Commission that the district will obtain the license for the educator prior to assignment within the district.</w:t>
      </w:r>
    </w:p>
    <w:p w14:paraId="23BF2C49"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(3) Renewal of District Sponsorship: Upon first and second reissue of the International Visiting Teacher License, a district must provide a letter of renewed sponsorship that includes confirmation that:</w:t>
      </w:r>
    </w:p>
    <w:p w14:paraId="7812AE4E"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(a) All assignments of the licensed teacher will remain within the scope the subject-matter endorsements on the license; and</w:t>
      </w:r>
    </w:p>
    <w:p w14:paraId="7FB5D29B"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(b) The plan for supervision and mentoring remains in place.  The letter must update the name of the mentor if appropriate.</w:t>
      </w:r>
    </w:p>
    <w:p w14:paraId="7D5D7047" w14:textId="77777777" w:rsidR="0075156E" w:rsidRPr="0075156E" w:rsidRDefault="0075156E" w:rsidP="0075156E">
      <w:pPr>
        <w:rPr>
          <w:rFonts w:asciiTheme="minorHAnsi" w:eastAsia="Calibri" w:hAnsiTheme="minorHAnsi"/>
          <w:b/>
          <w:sz w:val="22"/>
          <w:szCs w:val="22"/>
        </w:rPr>
      </w:pPr>
      <w:r w:rsidRPr="0075156E">
        <w:rPr>
          <w:rFonts w:asciiTheme="minorHAnsi" w:eastAsia="Calibri" w:hAnsiTheme="minorHAnsi"/>
          <w:sz w:val="22"/>
          <w:szCs w:val="22"/>
        </w:rPr>
        <w:t xml:space="preserve">(4) Term of </w:t>
      </w:r>
      <w:commentRangeStart w:id="7"/>
      <w:r w:rsidRPr="0075156E">
        <w:rPr>
          <w:rFonts w:asciiTheme="minorHAnsi" w:eastAsia="Calibri" w:hAnsiTheme="minorHAnsi"/>
          <w:sz w:val="22"/>
          <w:szCs w:val="22"/>
        </w:rPr>
        <w:t>Licensure</w:t>
      </w:r>
      <w:commentRangeEnd w:id="7"/>
      <w:r w:rsidRPr="0075156E">
        <w:rPr>
          <w:rFonts w:asciiTheme="minorHAnsi" w:eastAsiaTheme="minorHAnsi" w:hAnsiTheme="minorHAnsi" w:cstheme="minorBidi"/>
          <w:sz w:val="22"/>
          <w:szCs w:val="22"/>
        </w:rPr>
        <w:commentReference w:id="7"/>
      </w:r>
      <w:r w:rsidRPr="0075156E">
        <w:rPr>
          <w:rFonts w:asciiTheme="minorHAnsi" w:eastAsia="Calibri" w:hAnsiTheme="minorHAnsi"/>
          <w:sz w:val="22"/>
          <w:szCs w:val="22"/>
        </w:rPr>
        <w:t xml:space="preserve">: Terms of Licensure: </w:t>
      </w:r>
      <w:r w:rsidRPr="0075156E">
        <w:rPr>
          <w:rFonts w:asciiTheme="minorHAnsi" w:eastAsia="Calibri" w:hAnsiTheme="minorHAnsi"/>
          <w:b/>
          <w:sz w:val="22"/>
          <w:szCs w:val="22"/>
        </w:rPr>
        <w:t xml:space="preserve">The International Visiting Teacher License is valid for one year and can be reissued up to two times for a total of three years (plus time to June 30 if needed) on the license. The license will expire on June 30 of the academic year following issuance of the license. Upon expiration of the final term (after second reissue) of the International Visiting Teacher License, the educator must qualify for another Oregon teaching license if the educator plans to continue teaching in Oregon public schools. </w:t>
      </w:r>
      <w:r w:rsidRPr="0075156E">
        <w:rPr>
          <w:rFonts w:asciiTheme="minorHAnsi" w:eastAsia="Calibri" w:hAnsiTheme="minorHAnsi"/>
          <w:b/>
          <w:strike/>
          <w:sz w:val="22"/>
          <w:szCs w:val="22"/>
        </w:rPr>
        <w:t>The International Visiting Teacher License is valid for one year and is renewable up to two times in accordance with subsection (6) of this rule.</w:t>
      </w:r>
      <w:r w:rsidRPr="0075156E">
        <w:rPr>
          <w:rFonts w:asciiTheme="minorHAnsi" w:eastAsia="Calibri" w:hAnsiTheme="minorHAnsi"/>
          <w:sz w:val="22"/>
          <w:szCs w:val="22"/>
        </w:rPr>
        <w:t xml:space="preserve"> </w:t>
      </w:r>
      <w:r w:rsidRPr="0075156E">
        <w:rPr>
          <w:rFonts w:asciiTheme="minorHAnsi" w:eastAsia="Calibri" w:hAnsiTheme="minorHAnsi"/>
          <w:b/>
          <w:sz w:val="22"/>
          <w:szCs w:val="22"/>
        </w:rPr>
        <w:t xml:space="preserve">The International Visiting Teacher License is not subject to the 120 day grace period. </w:t>
      </w:r>
    </w:p>
    <w:p w14:paraId="04A94A42"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lastRenderedPageBreak/>
        <w:t xml:space="preserve">(5) Assignment and Endorsement Authorization: The International Visiting Teacher License qualifies the teacher to accept within the sponsoring district: </w:t>
      </w:r>
    </w:p>
    <w:p w14:paraId="6D928032"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(a) Any instructional assignment from prekindergarten through grade 12 within the scope of the subject-matter endorsement(s) on the International Visiting Teaching License; and </w:t>
      </w:r>
    </w:p>
    <w:p w14:paraId="284CDD2D"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(b) Substitute teaching assignments within the subject-matter endorsement areas authorized by the license. </w:t>
      </w:r>
    </w:p>
    <w:p w14:paraId="27CDC71D"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(6) To be eligible to apply for the International Visiting Teacher License, the applicant must:</w:t>
      </w:r>
    </w:p>
    <w:p w14:paraId="1C5C6D1E"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(a) Provide a letter from the sponsoring district in accordance with subsection (2) of this rule;</w:t>
      </w:r>
    </w:p>
    <w:p w14:paraId="20D2D99D"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(b) Have not previously held any TSPC license;</w:t>
      </w:r>
    </w:p>
    <w:p w14:paraId="53F31AF9"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(c) Possess the personal qualifications for licensure including attainment of at least eighteen years of age and possessing good moral character and mental and physical health necessary for employment as an educator; </w:t>
      </w:r>
    </w:p>
    <w:p w14:paraId="305EB27A"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(d) Provide evidence that the applicant is not a resident of the United States;</w:t>
      </w:r>
    </w:p>
    <w:p w14:paraId="3BF1BB00"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b/>
          <w:sz w:val="22"/>
          <w:szCs w:val="22"/>
        </w:rPr>
        <w:t>(e)</w:t>
      </w:r>
      <w:r w:rsidRPr="0075156E">
        <w:rPr>
          <w:rFonts w:asciiTheme="minorHAnsi" w:eastAsia="Calibri" w:hAnsiTheme="minorHAnsi"/>
          <w:sz w:val="22"/>
          <w:szCs w:val="22"/>
        </w:rPr>
        <w:t xml:space="preserve"> Provide a copy of a valid and current </w:t>
      </w:r>
      <w:r w:rsidRPr="0075156E">
        <w:rPr>
          <w:rFonts w:asciiTheme="minorHAnsi" w:eastAsia="Calibri" w:hAnsiTheme="minorHAnsi"/>
          <w:b/>
          <w:strike/>
          <w:sz w:val="22"/>
          <w:szCs w:val="22"/>
        </w:rPr>
        <w:t>and is working here under</w:t>
      </w:r>
      <w:r w:rsidRPr="0075156E">
        <w:rPr>
          <w:rFonts w:asciiTheme="minorHAnsi" w:eastAsia="Calibri" w:hAnsiTheme="minorHAnsi"/>
          <w:sz w:val="22"/>
          <w:szCs w:val="22"/>
        </w:rPr>
        <w:t xml:space="preserve"> J-1 Visa; </w:t>
      </w:r>
    </w:p>
    <w:p w14:paraId="439FD02F"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(f) Provide transcript evaluation or some other convincing evidence that the applicant holds the equivalent of a U.S. baccalaureate or higher degree and proof that the applicant has completed a professional teacher preparation program in their country. The transcript and other evidence submitted will be evaluated for subject-matter competency in the subject-area in which the license is being requested; </w:t>
      </w:r>
    </w:p>
    <w:p w14:paraId="6502651A"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(g) Provide a copy of all the professional teaching credentials from a country other than the United States held by the applicant; </w:t>
      </w:r>
    </w:p>
    <w:p w14:paraId="27ED81F8"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(h)(A) Provide evidence that the applicant has completed the equivalent of three full years (not less than 27 months) of teaching experience in the applicant’s native country; or </w:t>
      </w:r>
    </w:p>
    <w:p w14:paraId="5D9FD3AB"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(B) Provide proof of participation in the Cultural Exchange Program in a J-1 Visa status monitored by the</w:t>
      </w:r>
      <w:r w:rsidRPr="0075156E">
        <w:rPr>
          <w:rFonts w:asciiTheme="minorHAnsi" w:eastAsia="Calibri" w:hAnsiTheme="minorHAnsi"/>
          <w:b/>
          <w:strike/>
          <w:sz w:val="22"/>
          <w:szCs w:val="22"/>
        </w:rPr>
        <w:t xml:space="preserve"> Oregon Department of Education</w:t>
      </w:r>
      <w:r w:rsidRPr="0075156E">
        <w:rPr>
          <w:rFonts w:asciiTheme="minorHAnsi" w:eastAsia="Calibri" w:hAnsiTheme="minorHAnsi"/>
          <w:sz w:val="22"/>
          <w:szCs w:val="22"/>
        </w:rPr>
        <w:t xml:space="preserve"> </w:t>
      </w:r>
      <w:r w:rsidRPr="0075156E">
        <w:rPr>
          <w:rFonts w:asciiTheme="minorHAnsi" w:eastAsia="Calibri" w:hAnsiTheme="minorHAnsi"/>
          <w:b/>
          <w:sz w:val="22"/>
          <w:szCs w:val="22"/>
        </w:rPr>
        <w:t>the U.S. State Department.</w:t>
      </w:r>
      <w:r w:rsidRPr="0075156E">
        <w:rPr>
          <w:rFonts w:asciiTheme="minorHAnsi" w:eastAsia="Calibri" w:hAnsiTheme="minorHAnsi"/>
          <w:sz w:val="22"/>
          <w:szCs w:val="22"/>
        </w:rPr>
        <w:t xml:space="preserve"> Proof of participation must include verification from</w:t>
      </w:r>
      <w:r w:rsidRPr="0075156E">
        <w:rPr>
          <w:rFonts w:asciiTheme="minorHAnsi" w:eastAsia="Calibri" w:hAnsiTheme="minorHAnsi"/>
          <w:b/>
          <w:sz w:val="22"/>
          <w:szCs w:val="22"/>
        </w:rPr>
        <w:t xml:space="preserve"> the Designated Sponsor Organization monitored by the U.S. State Department</w:t>
      </w:r>
      <w:r w:rsidRPr="0075156E">
        <w:rPr>
          <w:rFonts w:asciiTheme="minorHAnsi" w:eastAsia="Calibri" w:hAnsiTheme="minorHAnsi"/>
          <w:b/>
          <w:strike/>
          <w:sz w:val="22"/>
          <w:szCs w:val="22"/>
        </w:rPr>
        <w:t xml:space="preserve"> Oregon Department of Education</w:t>
      </w:r>
      <w:r w:rsidRPr="0075156E">
        <w:rPr>
          <w:rFonts w:asciiTheme="minorHAnsi" w:eastAsia="Calibri" w:hAnsiTheme="minorHAnsi"/>
          <w:sz w:val="22"/>
          <w:szCs w:val="22"/>
        </w:rPr>
        <w:t xml:space="preserve">; </w:t>
      </w:r>
    </w:p>
    <w:p w14:paraId="57883963" w14:textId="77777777" w:rsidR="0075156E" w:rsidRPr="0075156E" w:rsidRDefault="0075156E" w:rsidP="0075156E">
      <w:pPr>
        <w:rPr>
          <w:rFonts w:asciiTheme="minorHAnsi" w:hAnsiTheme="minorHAnsi" w:cs="Arial"/>
          <w:b/>
          <w:color w:val="000000"/>
          <w:sz w:val="22"/>
          <w:szCs w:val="22"/>
        </w:rPr>
      </w:pPr>
      <w:r w:rsidRPr="0075156E">
        <w:rPr>
          <w:rFonts w:asciiTheme="minorHAnsi" w:eastAsia="Calibri" w:hAnsiTheme="minorHAnsi"/>
          <w:sz w:val="22"/>
          <w:szCs w:val="22"/>
        </w:rPr>
        <w:t xml:space="preserve">(i) </w:t>
      </w:r>
      <w:r w:rsidRPr="0075156E">
        <w:rPr>
          <w:rFonts w:asciiTheme="minorHAnsi" w:hAnsiTheme="minorHAnsi" w:cs="Arial"/>
          <w:b/>
          <w:color w:val="000000"/>
          <w:sz w:val="22"/>
          <w:szCs w:val="22"/>
        </w:rPr>
        <w:t xml:space="preserve">Complete a </w:t>
      </w:r>
      <w:commentRangeStart w:id="8"/>
      <w:r w:rsidRPr="0075156E">
        <w:rPr>
          <w:rFonts w:asciiTheme="minorHAnsi" w:hAnsiTheme="minorHAnsi" w:cs="Arial"/>
          <w:b/>
          <w:color w:val="000000"/>
          <w:sz w:val="22"/>
          <w:szCs w:val="22"/>
        </w:rPr>
        <w:t>background</w:t>
      </w:r>
      <w:commentRangeEnd w:id="8"/>
      <w:r w:rsidRPr="0075156E">
        <w:rPr>
          <w:rFonts w:asciiTheme="minorHAnsi" w:eastAsiaTheme="minorHAnsi" w:hAnsiTheme="minorHAnsi" w:cstheme="minorBidi"/>
          <w:sz w:val="22"/>
          <w:szCs w:val="22"/>
        </w:rPr>
        <w:commentReference w:id="8"/>
      </w:r>
      <w:r w:rsidRPr="0075156E">
        <w:rPr>
          <w:rFonts w:asciiTheme="minorHAnsi" w:hAnsiTheme="minorHAnsi" w:cs="Arial"/>
          <w:b/>
          <w:color w:val="000000"/>
          <w:sz w:val="22"/>
          <w:szCs w:val="22"/>
        </w:rPr>
        <w:t xml:space="preserve"> clearance that includes:</w:t>
      </w:r>
    </w:p>
    <w:p w14:paraId="200E64E2" w14:textId="77777777" w:rsidR="0075156E" w:rsidRPr="0075156E" w:rsidRDefault="0075156E" w:rsidP="0075156E">
      <w:pPr>
        <w:rPr>
          <w:rFonts w:asciiTheme="minorHAnsi" w:hAnsiTheme="minorHAnsi" w:cs="Arial"/>
          <w:b/>
          <w:color w:val="000000"/>
          <w:sz w:val="22"/>
          <w:szCs w:val="22"/>
        </w:rPr>
      </w:pPr>
      <w:r w:rsidRPr="0075156E">
        <w:rPr>
          <w:rFonts w:asciiTheme="minorHAnsi" w:hAnsiTheme="minorHAnsi" w:cs="Arial"/>
          <w:b/>
          <w:color w:val="000000"/>
          <w:sz w:val="22"/>
          <w:szCs w:val="22"/>
        </w:rPr>
        <w:t>(A) Furnishing fingerprints (if necessary);</w:t>
      </w:r>
    </w:p>
    <w:p w14:paraId="6340E460" w14:textId="77777777" w:rsidR="0075156E" w:rsidRPr="0075156E" w:rsidRDefault="0075156E" w:rsidP="0075156E">
      <w:pPr>
        <w:rPr>
          <w:rFonts w:asciiTheme="minorHAnsi" w:hAnsiTheme="minorHAnsi" w:cs="Arial"/>
          <w:b/>
          <w:color w:val="000000"/>
          <w:sz w:val="22"/>
          <w:szCs w:val="22"/>
        </w:rPr>
      </w:pPr>
      <w:r w:rsidRPr="0075156E">
        <w:rPr>
          <w:rFonts w:asciiTheme="minorHAnsi" w:hAnsiTheme="minorHAnsi" w:cs="Arial"/>
          <w:b/>
          <w:color w:val="000000"/>
          <w:sz w:val="22"/>
          <w:szCs w:val="22"/>
        </w:rPr>
        <w:t xml:space="preserve">(B) Providing satisfactory responses to character questions in the form and manner prescribed by the Commission; and </w:t>
      </w:r>
    </w:p>
    <w:p w14:paraId="4B863282" w14:textId="77777777" w:rsidR="0075156E" w:rsidRPr="0075156E" w:rsidRDefault="0075156E" w:rsidP="0075156E">
      <w:pPr>
        <w:rPr>
          <w:rFonts w:asciiTheme="minorHAnsi" w:eastAsiaTheme="minorHAnsi" w:hAnsiTheme="minorHAnsi" w:cs="Arial"/>
          <w:color w:val="FF0000"/>
          <w:sz w:val="22"/>
          <w:szCs w:val="22"/>
        </w:rPr>
      </w:pPr>
      <w:r w:rsidRPr="0075156E">
        <w:rPr>
          <w:rFonts w:asciiTheme="minorHAnsi" w:hAnsiTheme="minorHAnsi" w:cs="Helvetica"/>
          <w:color w:val="000000"/>
          <w:sz w:val="22"/>
          <w:szCs w:val="22"/>
        </w:rPr>
        <w:t>(j) Submit a complete and correct application in the form and manner required by the Commission, including</w:t>
      </w:r>
      <w:r w:rsidRPr="0075156E">
        <w:rPr>
          <w:rFonts w:asciiTheme="minorHAnsi" w:hAnsiTheme="minorHAnsi" w:cs="Helvetica"/>
          <w:sz w:val="22"/>
          <w:szCs w:val="22"/>
        </w:rPr>
        <w:t xml:space="preserve"> payment of all required fees as provided in OAR 584-200-0050</w:t>
      </w:r>
      <w:r w:rsidRPr="0075156E">
        <w:rPr>
          <w:rFonts w:asciiTheme="minorHAnsi" w:hAnsiTheme="minorHAnsi"/>
          <w:bCs/>
          <w:color w:val="000000"/>
          <w:sz w:val="22"/>
          <w:szCs w:val="22"/>
        </w:rPr>
        <w:t>.</w:t>
      </w:r>
    </w:p>
    <w:p w14:paraId="764C73D3"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(7) </w:t>
      </w:r>
      <w:r w:rsidRPr="0075156E">
        <w:rPr>
          <w:rFonts w:asciiTheme="minorHAnsi" w:eastAsia="Calibri" w:hAnsiTheme="minorHAnsi"/>
          <w:b/>
          <w:sz w:val="22"/>
          <w:szCs w:val="22"/>
        </w:rPr>
        <w:t>First and Second Reissue:</w:t>
      </w:r>
      <w:r w:rsidRPr="0075156E">
        <w:rPr>
          <w:rFonts w:asciiTheme="minorHAnsi" w:eastAsia="Calibri" w:hAnsiTheme="minorHAnsi"/>
          <w:sz w:val="22"/>
          <w:szCs w:val="22"/>
        </w:rPr>
        <w:t xml:space="preserve"> To be eligible to apply for </w:t>
      </w:r>
      <w:r w:rsidRPr="0075156E">
        <w:rPr>
          <w:rFonts w:asciiTheme="minorHAnsi" w:eastAsia="Calibri" w:hAnsiTheme="minorHAnsi"/>
          <w:b/>
          <w:sz w:val="22"/>
          <w:szCs w:val="22"/>
        </w:rPr>
        <w:t>first or second reissue</w:t>
      </w:r>
      <w:r w:rsidRPr="0075156E">
        <w:rPr>
          <w:rFonts w:asciiTheme="minorHAnsi" w:eastAsia="Calibri" w:hAnsiTheme="minorHAnsi"/>
          <w:strike/>
          <w:sz w:val="22"/>
          <w:szCs w:val="22"/>
        </w:rPr>
        <w:t xml:space="preserve"> renewal</w:t>
      </w:r>
      <w:r w:rsidRPr="0075156E">
        <w:rPr>
          <w:rFonts w:asciiTheme="minorHAnsi" w:eastAsia="Calibri" w:hAnsiTheme="minorHAnsi"/>
          <w:sz w:val="22"/>
          <w:szCs w:val="22"/>
        </w:rPr>
        <w:t xml:space="preserve"> of the International Visiting Teaching License, an applicant must submit: </w:t>
      </w:r>
    </w:p>
    <w:p w14:paraId="6E04543E"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(a) A PEER form verifying the applicant’s assignment; </w:t>
      </w:r>
    </w:p>
    <w:p w14:paraId="3720D29F"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(b) A letter from the sponsoring district in accordance with subsection (3) of this rule; and</w:t>
      </w:r>
    </w:p>
    <w:p w14:paraId="013D0099" w14:textId="77777777" w:rsidR="0075156E" w:rsidRPr="0075156E" w:rsidRDefault="0075156E" w:rsidP="0075156E">
      <w:pPr>
        <w:rPr>
          <w:rFonts w:asciiTheme="minorHAnsi" w:hAnsiTheme="minorHAnsi"/>
          <w:bCs/>
          <w:color w:val="000000"/>
          <w:sz w:val="22"/>
          <w:szCs w:val="22"/>
        </w:rPr>
      </w:pPr>
      <w:r w:rsidRPr="0075156E">
        <w:rPr>
          <w:rFonts w:asciiTheme="minorHAnsi" w:hAnsiTheme="minorHAnsi" w:cs="Helvetica"/>
          <w:color w:val="000000"/>
          <w:sz w:val="22"/>
          <w:szCs w:val="22"/>
        </w:rPr>
        <w:t>(c) A complete and correct renewal application in the form and manner required by the Commission, including</w:t>
      </w:r>
      <w:r w:rsidRPr="0075156E">
        <w:rPr>
          <w:rFonts w:asciiTheme="minorHAnsi" w:hAnsiTheme="minorHAnsi" w:cs="Helvetica"/>
          <w:sz w:val="22"/>
          <w:szCs w:val="22"/>
        </w:rPr>
        <w:t xml:space="preserve"> payment of all required fees as provided in OAR 584-200-0050</w:t>
      </w:r>
      <w:r w:rsidRPr="0075156E">
        <w:rPr>
          <w:rFonts w:asciiTheme="minorHAnsi" w:hAnsiTheme="minorHAnsi"/>
          <w:bCs/>
          <w:color w:val="000000"/>
          <w:sz w:val="22"/>
          <w:szCs w:val="22"/>
        </w:rPr>
        <w:t>.</w:t>
      </w:r>
    </w:p>
    <w:p w14:paraId="1C4C911A"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Stat. Auth.: ORS 342 </w:t>
      </w:r>
    </w:p>
    <w:p w14:paraId="406749AB"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Stats. Implemented: ORS 342.120 - 342.430, 342.455 - 342.495 &amp; 342.533 </w:t>
      </w:r>
    </w:p>
    <w:p w14:paraId="55820571" w14:textId="77777777" w:rsidR="0075156E" w:rsidRPr="0075156E" w:rsidRDefault="0075156E" w:rsidP="0075156E">
      <w:pPr>
        <w:rPr>
          <w:rFonts w:asciiTheme="minorHAnsi" w:eastAsia="Calibri" w:hAnsiTheme="minorHAnsi"/>
          <w:sz w:val="22"/>
          <w:szCs w:val="22"/>
        </w:rPr>
      </w:pPr>
      <w:r w:rsidRPr="0075156E">
        <w:rPr>
          <w:rFonts w:asciiTheme="minorHAnsi" w:eastAsia="Calibri" w:hAnsiTheme="minorHAnsi"/>
          <w:sz w:val="22"/>
          <w:szCs w:val="22"/>
        </w:rPr>
        <w:t xml:space="preserve">Hist.: </w:t>
      </w:r>
    </w:p>
    <w:p w14:paraId="5A72549F" w14:textId="77777777" w:rsidR="00434DFC" w:rsidRPr="00434DFC" w:rsidRDefault="00434DFC" w:rsidP="00434DFC">
      <w:pPr>
        <w:keepNext/>
        <w:rPr>
          <w:rFonts w:asciiTheme="minorHAnsi" w:eastAsia="Calibri" w:hAnsiTheme="minorHAnsi" w:cs="Arial"/>
          <w:sz w:val="22"/>
          <w:szCs w:val="22"/>
        </w:rPr>
      </w:pPr>
      <w:r w:rsidRPr="00434DFC">
        <w:rPr>
          <w:rFonts w:asciiTheme="minorHAnsi" w:eastAsia="Calibri" w:hAnsiTheme="minorHAnsi" w:cs="Arial"/>
          <w:sz w:val="22"/>
          <w:szCs w:val="22"/>
        </w:rPr>
        <w:t xml:space="preserve">584-210-0190 Reinstatement of Teaching Licenses </w:t>
      </w:r>
    </w:p>
    <w:p w14:paraId="6F255078" w14:textId="77777777" w:rsidR="00434DFC" w:rsidRPr="00434DFC" w:rsidRDefault="00434DFC" w:rsidP="00434DFC">
      <w:pPr>
        <w:keepNext/>
        <w:rPr>
          <w:rFonts w:asciiTheme="minorHAnsi" w:eastAsia="Calibri" w:hAnsiTheme="minorHAnsi"/>
          <w:sz w:val="22"/>
          <w:szCs w:val="22"/>
        </w:rPr>
      </w:pPr>
      <w:r w:rsidRPr="00434DFC">
        <w:rPr>
          <w:rFonts w:asciiTheme="minorHAnsi" w:eastAsia="Calibri" w:hAnsiTheme="minorHAnsi"/>
          <w:sz w:val="22"/>
          <w:szCs w:val="22"/>
        </w:rPr>
        <w:t>(1) Oregon teaching licenses may be reinstated upon application from the formerly licensed Oregon educator.  The reinstatement must meet the Commission-adopted standards for reinstatement as provided in this rule.</w:t>
      </w:r>
    </w:p>
    <w:p w14:paraId="058CFD57" w14:textId="77777777" w:rsidR="00434DFC" w:rsidRPr="00434DFC" w:rsidRDefault="00434DFC" w:rsidP="00434DFC">
      <w:pPr>
        <w:keepNext/>
        <w:rPr>
          <w:rFonts w:asciiTheme="minorHAnsi" w:eastAsia="Calibri" w:hAnsiTheme="minorHAnsi"/>
          <w:b/>
          <w:sz w:val="22"/>
          <w:szCs w:val="22"/>
        </w:rPr>
      </w:pPr>
      <w:commentRangeStart w:id="9"/>
      <w:r w:rsidRPr="00434DFC">
        <w:rPr>
          <w:rFonts w:asciiTheme="minorHAnsi" w:eastAsia="Calibri" w:hAnsiTheme="minorHAnsi"/>
          <w:b/>
          <w:sz w:val="22"/>
          <w:szCs w:val="22"/>
        </w:rPr>
        <w:t>(2) Reciprocal and Initial Teaching Licenses may not be reinstated. If an applicant holds an expired Initial or Reciprocal Teaching License, the applicant must:</w:t>
      </w:r>
    </w:p>
    <w:p w14:paraId="0CDF9BE5" w14:textId="77777777" w:rsidR="00434DFC" w:rsidRPr="00434DFC" w:rsidRDefault="00434DFC" w:rsidP="00434DFC">
      <w:pPr>
        <w:keepNext/>
        <w:rPr>
          <w:rFonts w:asciiTheme="minorHAnsi" w:eastAsia="Calibri" w:hAnsiTheme="minorHAnsi"/>
          <w:b/>
          <w:sz w:val="22"/>
          <w:szCs w:val="22"/>
        </w:rPr>
      </w:pPr>
      <w:r w:rsidRPr="00434DFC">
        <w:rPr>
          <w:rFonts w:asciiTheme="minorHAnsi" w:eastAsia="Calibri" w:hAnsiTheme="minorHAnsi"/>
          <w:b/>
          <w:sz w:val="22"/>
          <w:szCs w:val="22"/>
        </w:rPr>
        <w:t>(a) Qualify for an Oregon Preliminary, Professional, Legacy teaching license; or</w:t>
      </w:r>
    </w:p>
    <w:p w14:paraId="796C56E3" w14:textId="77777777" w:rsidR="00434DFC" w:rsidRPr="00434DFC" w:rsidRDefault="00434DFC" w:rsidP="00434DFC">
      <w:pPr>
        <w:keepNext/>
        <w:rPr>
          <w:rFonts w:asciiTheme="minorHAnsi" w:eastAsia="Calibri" w:hAnsiTheme="minorHAnsi"/>
          <w:b/>
          <w:sz w:val="22"/>
          <w:szCs w:val="22"/>
        </w:rPr>
      </w:pPr>
      <w:r w:rsidRPr="00434DFC">
        <w:rPr>
          <w:rFonts w:asciiTheme="minorHAnsi" w:eastAsia="Calibri" w:hAnsiTheme="minorHAnsi"/>
          <w:b/>
          <w:sz w:val="22"/>
          <w:szCs w:val="22"/>
        </w:rPr>
        <w:t>(b) Qualify for an Oregon provisional license for which they are eligible.</w:t>
      </w:r>
    </w:p>
    <w:p w14:paraId="4C4E333B" w14:textId="77777777" w:rsidR="00434DFC" w:rsidRPr="00434DFC" w:rsidRDefault="00434DFC" w:rsidP="00434DFC">
      <w:pPr>
        <w:keepNext/>
        <w:rPr>
          <w:rFonts w:asciiTheme="minorHAnsi" w:eastAsia="Calibri" w:hAnsiTheme="minorHAnsi"/>
          <w:b/>
          <w:sz w:val="22"/>
          <w:szCs w:val="22"/>
        </w:rPr>
      </w:pPr>
      <w:r w:rsidRPr="00434DFC">
        <w:rPr>
          <w:rFonts w:asciiTheme="minorHAnsi" w:eastAsia="Calibri" w:hAnsiTheme="minorHAnsi"/>
          <w:b/>
          <w:sz w:val="22"/>
          <w:szCs w:val="22"/>
        </w:rPr>
        <w:t xml:space="preserve">(c) The applicant with the expired Initial or Reciprocal Teaching license will not be required to complete continuing PDUs prior to qualifying for the first –issue Preliminary, Professional or Legacy Teaching License. </w:t>
      </w:r>
      <w:commentRangeEnd w:id="9"/>
      <w:r w:rsidRPr="00434DFC">
        <w:rPr>
          <w:rFonts w:ascii="Calibri" w:eastAsia="Calibri" w:hAnsi="Calibri"/>
          <w:sz w:val="16"/>
          <w:szCs w:val="16"/>
        </w:rPr>
        <w:commentReference w:id="9"/>
      </w:r>
    </w:p>
    <w:p w14:paraId="6F104682"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(3) Initial I Teaching Licenses:  Initial I Teaching Licenses may not be reinstated.  Holders of these licenses must apply for reinstatement of the Preliminary Teaching License and must meet the requirements in subsection (12) of this rule.</w:t>
      </w:r>
    </w:p>
    <w:p w14:paraId="5E6DCE87"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lastRenderedPageBreak/>
        <w:t xml:space="preserve">(4) Initial II Teaching Licenses:  Initial II Teaching Licenses may not be reinstated.  Holders of these licenses must apply for reinstatement to the Preliminary Teaching License or Professional Teaching License and must meet the requirements in subsection (12) of this rule. </w:t>
      </w:r>
    </w:p>
    <w:p w14:paraId="35990110"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 xml:space="preserve">(5) Basic: Basic Teaching Licenses may not be in reinstated.  Holders of these licenses must apply for reinstatement of the Professional, Preliminary, or Legacy Teaching License and must meet the requirements in subsection (12) of this rule. </w:t>
      </w:r>
    </w:p>
    <w:p w14:paraId="49CA8B7E"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(6) Standard, Continuing Teaching Licenses:  and Continuing Teaching Licenses may not be reinstated. Holders of these licenses must apply for reinstatement of the Professional Teaching License and must meet the requirements in subsection (12) of this rule.</w:t>
      </w:r>
    </w:p>
    <w:p w14:paraId="7A5641F4" w14:textId="77777777" w:rsidR="00434DFC" w:rsidRPr="00434DFC" w:rsidRDefault="00434DFC" w:rsidP="00434DFC">
      <w:pPr>
        <w:rPr>
          <w:rFonts w:asciiTheme="minorHAnsi" w:eastAsia="Calibri" w:hAnsiTheme="minorHAnsi"/>
          <w:i/>
          <w:sz w:val="22"/>
          <w:szCs w:val="22"/>
        </w:rPr>
      </w:pPr>
      <w:r w:rsidRPr="00434DFC">
        <w:rPr>
          <w:rFonts w:asciiTheme="minorHAnsi" w:eastAsia="Calibri" w:hAnsiTheme="minorHAnsi"/>
          <w:sz w:val="22"/>
          <w:szCs w:val="22"/>
        </w:rPr>
        <w:t xml:space="preserve">(7) Provisional Oregon Teaching Licenses:  </w:t>
      </w:r>
      <w:r w:rsidRPr="00434DFC">
        <w:rPr>
          <w:rFonts w:asciiTheme="minorHAnsi" w:eastAsia="Calibri" w:hAnsiTheme="minorHAnsi"/>
          <w:b/>
          <w:sz w:val="22"/>
          <w:szCs w:val="22"/>
        </w:rPr>
        <w:t xml:space="preserve">Oregon </w:t>
      </w:r>
      <w:commentRangeStart w:id="10"/>
      <w:r w:rsidRPr="00434DFC">
        <w:rPr>
          <w:rFonts w:asciiTheme="minorHAnsi" w:eastAsia="Calibri" w:hAnsiTheme="minorHAnsi"/>
          <w:b/>
          <w:sz w:val="22"/>
          <w:szCs w:val="22"/>
        </w:rPr>
        <w:t>provisional</w:t>
      </w:r>
      <w:commentRangeEnd w:id="10"/>
      <w:r w:rsidRPr="00434DFC">
        <w:rPr>
          <w:rFonts w:asciiTheme="minorHAnsi" w:eastAsiaTheme="minorHAnsi" w:hAnsiTheme="minorHAnsi" w:cstheme="minorBidi"/>
          <w:b/>
          <w:sz w:val="22"/>
          <w:szCs w:val="22"/>
        </w:rPr>
        <w:commentReference w:id="10"/>
      </w:r>
      <w:r w:rsidRPr="00434DFC">
        <w:rPr>
          <w:rFonts w:asciiTheme="minorHAnsi" w:eastAsia="Calibri" w:hAnsiTheme="minorHAnsi"/>
          <w:b/>
          <w:sz w:val="22"/>
          <w:szCs w:val="22"/>
        </w:rPr>
        <w:t xml:space="preserve"> teaching licenses are issued upon new application for the provisional Oregon teaching license.  The applicant must meet the requirements for the provisional teaching license in effect at the time of the new application.  The applicant is not required to pay reinstatement fees or complete additional continuing PDUs to qualify for the new provisional license. </w:t>
      </w:r>
      <w:r w:rsidRPr="00434DFC">
        <w:rPr>
          <w:rFonts w:asciiTheme="minorHAnsi" w:eastAsia="Calibri" w:hAnsiTheme="minorHAnsi"/>
          <w:b/>
          <w:i/>
          <w:sz w:val="22"/>
          <w:szCs w:val="22"/>
        </w:rPr>
        <w:t>[Note: Some applicants may not be eligible for additional terms of a provisional license due to restrictions on the license terms or other circumstances.]</w:t>
      </w:r>
    </w:p>
    <w:p w14:paraId="5A2D1E08" w14:textId="77777777" w:rsidR="00434DFC" w:rsidRPr="00434DFC" w:rsidRDefault="00434DFC" w:rsidP="00434DFC">
      <w:pPr>
        <w:rPr>
          <w:rFonts w:asciiTheme="minorHAnsi" w:hAnsiTheme="minorHAnsi" w:cs="Helvetica"/>
          <w:color w:val="000000"/>
          <w:sz w:val="22"/>
          <w:szCs w:val="22"/>
        </w:rPr>
      </w:pPr>
      <w:r w:rsidRPr="00434DFC">
        <w:rPr>
          <w:rFonts w:asciiTheme="minorHAnsi" w:hAnsiTheme="minorHAnsi" w:cs="Helvetica"/>
          <w:color w:val="000000"/>
          <w:sz w:val="22"/>
          <w:szCs w:val="22"/>
        </w:rPr>
        <w:t xml:space="preserve">(8)  Teacher Leader: Teacher Leader licenses </w:t>
      </w:r>
      <w:commentRangeStart w:id="11"/>
      <w:r w:rsidRPr="00434DFC">
        <w:rPr>
          <w:rFonts w:asciiTheme="minorHAnsi" w:hAnsiTheme="minorHAnsi" w:cs="Helvetica"/>
          <w:color w:val="000000"/>
          <w:sz w:val="22"/>
          <w:szCs w:val="22"/>
        </w:rPr>
        <w:t>may</w:t>
      </w:r>
      <w:commentRangeEnd w:id="11"/>
      <w:r w:rsidRPr="00434DFC">
        <w:rPr>
          <w:rFonts w:asciiTheme="minorHAnsi" w:eastAsiaTheme="minorHAnsi" w:hAnsiTheme="minorHAnsi" w:cstheme="minorBidi"/>
          <w:sz w:val="22"/>
          <w:szCs w:val="22"/>
        </w:rPr>
        <w:commentReference w:id="11"/>
      </w:r>
      <w:r w:rsidRPr="00434DFC">
        <w:rPr>
          <w:rFonts w:asciiTheme="minorHAnsi" w:hAnsiTheme="minorHAnsi" w:cs="Helvetica"/>
          <w:color w:val="000000"/>
          <w:sz w:val="22"/>
          <w:szCs w:val="22"/>
        </w:rPr>
        <w:t xml:space="preserve"> not be reinstated.  A holder of an expired Teacher Leader license may apply to reinstate a Professional or Legacy Teaching license. To obtain the Teacher Leader license after it has expired, the applicant may submit a new application for the Teacher Leader License. </w:t>
      </w:r>
    </w:p>
    <w:p w14:paraId="0FE6046E" w14:textId="77777777" w:rsidR="00434DFC" w:rsidRPr="00434DFC" w:rsidRDefault="00434DFC" w:rsidP="00434DFC">
      <w:pPr>
        <w:rPr>
          <w:rFonts w:asciiTheme="minorHAnsi" w:hAnsiTheme="minorHAnsi" w:cs="Helvetica"/>
          <w:color w:val="000000"/>
          <w:sz w:val="22"/>
          <w:szCs w:val="22"/>
        </w:rPr>
      </w:pPr>
      <w:r w:rsidRPr="00434DFC">
        <w:rPr>
          <w:rFonts w:asciiTheme="minorHAnsi" w:eastAsia="Calibri" w:hAnsiTheme="minorHAnsi"/>
          <w:sz w:val="22"/>
          <w:szCs w:val="22"/>
        </w:rPr>
        <w:t xml:space="preserve">(9) Only endorsements held on the previous expired license will be added to the reinstated license. </w:t>
      </w:r>
      <w:r w:rsidRPr="00434DFC">
        <w:rPr>
          <w:rFonts w:asciiTheme="minorHAnsi" w:hAnsiTheme="minorHAnsi" w:cs="Helvetica"/>
          <w:color w:val="000000"/>
          <w:sz w:val="22"/>
          <w:szCs w:val="22"/>
        </w:rPr>
        <w:t xml:space="preserve">If applicant wants to add new endorsements to their reinstated license, they must add the endorsement in accordance with Chapter 584, Division 220. </w:t>
      </w:r>
    </w:p>
    <w:p w14:paraId="0644BC8B" w14:textId="77777777" w:rsidR="00434DFC" w:rsidRPr="00434DFC" w:rsidRDefault="00434DFC" w:rsidP="00434DFC">
      <w:pPr>
        <w:rPr>
          <w:rFonts w:asciiTheme="minorHAnsi" w:hAnsiTheme="minorHAnsi"/>
          <w:b/>
          <w:sz w:val="22"/>
          <w:szCs w:val="22"/>
        </w:rPr>
      </w:pPr>
      <w:r w:rsidRPr="00434DFC">
        <w:rPr>
          <w:rFonts w:asciiTheme="minorHAnsi" w:hAnsiTheme="minorHAnsi" w:cs="Helvetica"/>
          <w:color w:val="000000"/>
          <w:sz w:val="22"/>
          <w:szCs w:val="22"/>
        </w:rPr>
        <w:t xml:space="preserve">(10) </w:t>
      </w:r>
      <w:r w:rsidRPr="00434DFC">
        <w:rPr>
          <w:rFonts w:asciiTheme="minorHAnsi" w:hAnsiTheme="minorHAnsi"/>
          <w:b/>
          <w:sz w:val="22"/>
          <w:szCs w:val="22"/>
        </w:rPr>
        <w:t xml:space="preserve">If the applicant holds another active </w:t>
      </w:r>
      <w:commentRangeStart w:id="12"/>
      <w:r w:rsidRPr="00434DFC">
        <w:rPr>
          <w:rFonts w:asciiTheme="minorHAnsi" w:hAnsiTheme="minorHAnsi"/>
          <w:b/>
          <w:sz w:val="22"/>
          <w:szCs w:val="22"/>
        </w:rPr>
        <w:t>and</w:t>
      </w:r>
      <w:commentRangeEnd w:id="12"/>
      <w:r w:rsidRPr="00434DFC">
        <w:rPr>
          <w:rFonts w:asciiTheme="minorHAnsi" w:eastAsiaTheme="minorHAnsi" w:hAnsiTheme="minorHAnsi" w:cstheme="minorBidi"/>
          <w:sz w:val="22"/>
          <w:szCs w:val="22"/>
        </w:rPr>
        <w:commentReference w:id="12"/>
      </w:r>
      <w:r w:rsidRPr="00434DFC">
        <w:rPr>
          <w:rFonts w:asciiTheme="minorHAnsi" w:hAnsiTheme="minorHAnsi"/>
          <w:b/>
          <w:sz w:val="22"/>
          <w:szCs w:val="22"/>
        </w:rPr>
        <w:t xml:space="preserve"> current Oregon educator license, registration or certificate at the time of the application for reinstatement of a Preliminary, Professional or Legacy Teaching License, the applicant is not required to complete the additional continuing PDUs as provided in subsection (11) of this rule.  </w:t>
      </w:r>
    </w:p>
    <w:p w14:paraId="1601C60A" w14:textId="77777777" w:rsidR="00434DFC" w:rsidRPr="00434DFC" w:rsidRDefault="00434DFC" w:rsidP="00434DFC">
      <w:pPr>
        <w:rPr>
          <w:rFonts w:asciiTheme="minorHAnsi" w:hAnsiTheme="minorHAnsi"/>
          <w:b/>
          <w:sz w:val="22"/>
          <w:szCs w:val="22"/>
        </w:rPr>
      </w:pPr>
      <w:r w:rsidRPr="00434DFC">
        <w:rPr>
          <w:rFonts w:asciiTheme="minorHAnsi" w:hAnsiTheme="minorHAnsi"/>
          <w:b/>
          <w:sz w:val="22"/>
          <w:szCs w:val="22"/>
        </w:rPr>
        <w:t>(a) To qualify for this subsection, the applicant must hold another license, registration or certificate that requires completion of continuing PDUs for renewal;</w:t>
      </w:r>
    </w:p>
    <w:p w14:paraId="5D17212F" w14:textId="77777777" w:rsidR="00434DFC" w:rsidRPr="00434DFC" w:rsidRDefault="00434DFC" w:rsidP="00434DFC">
      <w:pPr>
        <w:rPr>
          <w:rFonts w:asciiTheme="minorHAnsi" w:hAnsiTheme="minorHAnsi"/>
          <w:b/>
          <w:sz w:val="22"/>
          <w:szCs w:val="22"/>
        </w:rPr>
      </w:pPr>
      <w:r w:rsidRPr="00434DFC">
        <w:rPr>
          <w:rFonts w:asciiTheme="minorHAnsi" w:hAnsiTheme="minorHAnsi"/>
          <w:b/>
          <w:sz w:val="22"/>
          <w:szCs w:val="22"/>
        </w:rPr>
        <w:t xml:space="preserve">(b) If the applicant holds another license, registration or certificate that does not require the completion of continuing PDUs for renewal, the applicant must complete the additional continuing PDUs as provided in subsection (11) of this rule to reinstate a Preliminary, Professional or Legacy Teaching License.  </w:t>
      </w:r>
    </w:p>
    <w:p w14:paraId="5B60E0B7" w14:textId="77777777" w:rsidR="00434DFC" w:rsidRPr="00434DFC" w:rsidRDefault="00434DFC" w:rsidP="00434DFC">
      <w:pPr>
        <w:rPr>
          <w:rFonts w:asciiTheme="minorHAnsi" w:hAnsiTheme="minorHAnsi" w:cs="Helvetica"/>
          <w:color w:val="000000"/>
          <w:sz w:val="22"/>
          <w:szCs w:val="22"/>
        </w:rPr>
      </w:pPr>
      <w:r w:rsidRPr="00434DFC">
        <w:rPr>
          <w:rFonts w:asciiTheme="minorHAnsi" w:hAnsiTheme="minorHAnsi"/>
          <w:b/>
          <w:sz w:val="22"/>
          <w:szCs w:val="22"/>
        </w:rPr>
        <w:t xml:space="preserve">(11) Reinstatement of suspended or revoked licenses must also meet the requirements provided in Chapter 584, Division 50.  </w:t>
      </w:r>
    </w:p>
    <w:p w14:paraId="2E99A1C0" w14:textId="77777777" w:rsidR="00434DFC" w:rsidRPr="00434DFC" w:rsidRDefault="00434DFC" w:rsidP="00434DFC">
      <w:pPr>
        <w:rPr>
          <w:rFonts w:asciiTheme="minorHAnsi" w:eastAsia="Calibri" w:hAnsiTheme="minorHAnsi"/>
          <w:strike/>
          <w:sz w:val="22"/>
          <w:szCs w:val="22"/>
        </w:rPr>
      </w:pPr>
      <w:r w:rsidRPr="00434DFC">
        <w:rPr>
          <w:rFonts w:asciiTheme="minorHAnsi" w:eastAsia="Calibri" w:hAnsiTheme="minorHAnsi"/>
          <w:sz w:val="22"/>
          <w:szCs w:val="22"/>
        </w:rPr>
        <w:t xml:space="preserve">(12) To be eligible to apply for reinstatement of an Oregon Preliminary, Professional or Legacy Teaching License, an applicant must:  </w:t>
      </w:r>
    </w:p>
    <w:p w14:paraId="56DF1159"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 xml:space="preserve">(a) </w:t>
      </w:r>
      <w:r w:rsidRPr="00434DFC">
        <w:rPr>
          <w:rFonts w:asciiTheme="minorHAnsi" w:eastAsia="Calibri" w:hAnsiTheme="minorHAnsi"/>
          <w:color w:val="000000"/>
          <w:sz w:val="22"/>
          <w:szCs w:val="22"/>
        </w:rPr>
        <w:t xml:space="preserve">Submit a complete and correct reinstatement application in the form and manner required by the Commission, </w:t>
      </w:r>
      <w:r w:rsidRPr="00434DFC">
        <w:rPr>
          <w:rFonts w:asciiTheme="minorHAnsi" w:eastAsia="Calibri" w:hAnsiTheme="minorHAnsi"/>
          <w:sz w:val="22"/>
          <w:szCs w:val="22"/>
        </w:rPr>
        <w:t>including payment of the required reinstatement fee (which includes the application fee) as provided in OAR 584-200-0050; and</w:t>
      </w:r>
    </w:p>
    <w:p w14:paraId="46A971ED"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(b) Meet the renewal or advancement requirements that would have been required if the license had not lapsed.  In addition, the applicant must submit proof of completion of 25 professional development units (PDUs) for each year the license is expired as provided:</w:t>
      </w:r>
    </w:p>
    <w:p w14:paraId="6D846ED5"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 xml:space="preserve">(A) Expired for less than one year: Must only meet the renewal or advancement requirements for the license. </w:t>
      </w:r>
    </w:p>
    <w:p w14:paraId="0C9CC423"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(B) Expired for more than one year, but less than two years:  Must meet the renewal or advancement requirements for the license plus 25 additional PDUs.</w:t>
      </w:r>
    </w:p>
    <w:p w14:paraId="751D35C6"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(C) Expired for more than two years but less than three years: Must meet the renewal or advancement requirements for the license plus 50 additional PDUs.</w:t>
      </w:r>
    </w:p>
    <w:p w14:paraId="7CA4DC92" w14:textId="77777777" w:rsidR="00434DFC" w:rsidRPr="00434DFC" w:rsidRDefault="00434DFC" w:rsidP="00434DFC">
      <w:pPr>
        <w:rPr>
          <w:rFonts w:asciiTheme="minorHAnsi" w:eastAsia="Calibri" w:hAnsiTheme="minorHAnsi"/>
          <w:i/>
          <w:sz w:val="22"/>
          <w:szCs w:val="22"/>
        </w:rPr>
      </w:pPr>
      <w:r w:rsidRPr="00434DFC">
        <w:rPr>
          <w:rFonts w:asciiTheme="minorHAnsi" w:eastAsia="Calibri" w:hAnsiTheme="minorHAnsi"/>
          <w:sz w:val="22"/>
          <w:szCs w:val="22"/>
        </w:rPr>
        <w:t>(D) Expired for more than three years but less than four years: Must meet the renewal or advancement</w:t>
      </w:r>
      <w:r w:rsidRPr="00434DFC" w:rsidDel="00723240">
        <w:rPr>
          <w:rFonts w:asciiTheme="minorHAnsi" w:eastAsia="Calibri" w:hAnsiTheme="minorHAnsi"/>
          <w:sz w:val="22"/>
          <w:szCs w:val="22"/>
        </w:rPr>
        <w:t xml:space="preserve"> </w:t>
      </w:r>
      <w:r w:rsidRPr="00434DFC">
        <w:rPr>
          <w:rFonts w:asciiTheme="minorHAnsi" w:eastAsia="Calibri" w:hAnsiTheme="minorHAnsi"/>
          <w:sz w:val="22"/>
          <w:szCs w:val="22"/>
        </w:rPr>
        <w:t>requirements for the license plus 75 additional PDUs.</w:t>
      </w:r>
    </w:p>
    <w:p w14:paraId="5BAEBFC1"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(E) Expired for more than four years but less than five years: Must meet the renewal or advancement requirements for the license plus 100 additional PDUs.</w:t>
      </w:r>
    </w:p>
    <w:p w14:paraId="59FF2C8C"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t>(F) Expired for more than five years but less than six years: Must meet the renewal or advancement requirements for the license plus 125 additional PDUs.</w:t>
      </w:r>
    </w:p>
    <w:p w14:paraId="2D5CE41B" w14:textId="77777777" w:rsidR="00434DFC" w:rsidRPr="00434DFC" w:rsidRDefault="00434DFC" w:rsidP="00434DFC">
      <w:pPr>
        <w:rPr>
          <w:rFonts w:asciiTheme="minorHAnsi" w:eastAsia="Calibri" w:hAnsiTheme="minorHAnsi"/>
          <w:sz w:val="22"/>
          <w:szCs w:val="22"/>
        </w:rPr>
      </w:pPr>
      <w:r w:rsidRPr="00434DFC">
        <w:rPr>
          <w:rFonts w:asciiTheme="minorHAnsi" w:eastAsia="Calibri" w:hAnsiTheme="minorHAnsi"/>
          <w:sz w:val="22"/>
          <w:szCs w:val="22"/>
        </w:rPr>
        <w:lastRenderedPageBreak/>
        <w:t>(G) Expired for more than six years:  Must meet the renewal or advancement requirements for the license plus 150 additional PDUs.</w:t>
      </w:r>
    </w:p>
    <w:p w14:paraId="5FA7B334" w14:textId="77777777" w:rsidR="00434DFC" w:rsidRPr="00434DFC" w:rsidRDefault="00434DFC" w:rsidP="00434DFC">
      <w:pPr>
        <w:rPr>
          <w:rFonts w:asciiTheme="minorHAnsi" w:eastAsia="Calibri" w:hAnsiTheme="minorHAnsi"/>
          <w:b/>
          <w:sz w:val="22"/>
          <w:szCs w:val="22"/>
        </w:rPr>
      </w:pPr>
      <w:r w:rsidRPr="00434DFC">
        <w:rPr>
          <w:rFonts w:asciiTheme="minorHAnsi" w:eastAsia="Calibri" w:hAnsiTheme="minorHAnsi"/>
          <w:b/>
          <w:sz w:val="22"/>
          <w:szCs w:val="22"/>
        </w:rPr>
        <w:t xml:space="preserve">(c) To qualify as continuing PDUs for requirements of this subsection, the continuing PDUs must have been completed within five (5) years of </w:t>
      </w:r>
      <w:commentRangeStart w:id="13"/>
      <w:r w:rsidRPr="00434DFC">
        <w:rPr>
          <w:rFonts w:asciiTheme="minorHAnsi" w:eastAsia="Calibri" w:hAnsiTheme="minorHAnsi"/>
          <w:b/>
          <w:sz w:val="22"/>
          <w:szCs w:val="22"/>
        </w:rPr>
        <w:t>the</w:t>
      </w:r>
      <w:commentRangeEnd w:id="13"/>
      <w:r w:rsidRPr="00434DFC">
        <w:rPr>
          <w:rFonts w:asciiTheme="minorHAnsi" w:eastAsiaTheme="minorHAnsi" w:hAnsiTheme="minorHAnsi" w:cstheme="minorBidi"/>
          <w:b/>
          <w:sz w:val="22"/>
          <w:szCs w:val="22"/>
        </w:rPr>
        <w:commentReference w:id="13"/>
      </w:r>
      <w:r w:rsidRPr="00434DFC">
        <w:rPr>
          <w:rFonts w:asciiTheme="minorHAnsi" w:eastAsia="Calibri" w:hAnsiTheme="minorHAnsi"/>
          <w:b/>
          <w:sz w:val="22"/>
          <w:szCs w:val="22"/>
        </w:rPr>
        <w:t xml:space="preserve"> date of application for reinstatement of the teaching license. </w:t>
      </w:r>
    </w:p>
    <w:p w14:paraId="29E9B388" w14:textId="3F92B219" w:rsidR="0075156E" w:rsidRDefault="00434DFC" w:rsidP="00434DFC">
      <w:pPr>
        <w:spacing w:after="160" w:line="259" w:lineRule="auto"/>
        <w:rPr>
          <w:rFonts w:ascii="Calibri" w:eastAsia="Calibri" w:hAnsi="Calibri"/>
          <w:b/>
          <w:sz w:val="22"/>
          <w:szCs w:val="22"/>
        </w:rPr>
      </w:pPr>
      <w:r w:rsidRPr="00434DFC">
        <w:rPr>
          <w:rFonts w:asciiTheme="minorHAnsi" w:eastAsiaTheme="minorHAnsi" w:hAnsiTheme="minorHAnsi" w:cstheme="minorBidi"/>
          <w:sz w:val="22"/>
          <w:szCs w:val="22"/>
        </w:rPr>
        <w:t xml:space="preserve">Stat. Auth.: ORS 342 </w:t>
      </w:r>
      <w:r w:rsidRPr="00434DFC">
        <w:rPr>
          <w:rFonts w:asciiTheme="minorHAnsi" w:eastAsiaTheme="minorHAnsi" w:hAnsiTheme="minorHAnsi" w:cstheme="minorBidi"/>
          <w:sz w:val="22"/>
          <w:szCs w:val="22"/>
        </w:rPr>
        <w:br/>
        <w:t xml:space="preserve">Stats. Implemented: </w:t>
      </w:r>
      <w:r w:rsidRPr="00434DFC">
        <w:rPr>
          <w:rFonts w:asciiTheme="minorHAnsi" w:eastAsia="Calibri" w:hAnsiTheme="minorHAnsi" w:cs="Helvetica"/>
          <w:color w:val="000000"/>
          <w:sz w:val="22"/>
          <w:szCs w:val="22"/>
        </w:rPr>
        <w:t>ORS 342.120 - 342.430, 342.455 - 342.495 &amp; 342.553</w:t>
      </w:r>
      <w:r w:rsidRPr="00434DFC">
        <w:rPr>
          <w:rFonts w:asciiTheme="minorHAnsi" w:eastAsiaTheme="minorHAnsi" w:hAnsiTheme="minorHAnsi" w:cstheme="minorBidi"/>
          <w:sz w:val="22"/>
          <w:szCs w:val="22"/>
        </w:rPr>
        <w:br/>
      </w:r>
    </w:p>
    <w:p w14:paraId="70339CE5" w14:textId="77777777" w:rsidR="00434DFC" w:rsidRPr="00434DFC" w:rsidRDefault="00434DFC" w:rsidP="00434DFC">
      <w:pPr>
        <w:keepNext/>
        <w:rPr>
          <w:rFonts w:asciiTheme="minorHAnsi" w:hAnsiTheme="minorHAnsi"/>
          <w:b/>
          <w:color w:val="000000"/>
          <w:sz w:val="22"/>
          <w:szCs w:val="22"/>
        </w:rPr>
      </w:pPr>
      <w:r w:rsidRPr="00434DFC">
        <w:rPr>
          <w:rFonts w:asciiTheme="minorHAnsi" w:hAnsiTheme="minorHAnsi"/>
          <w:b/>
          <w:bCs/>
          <w:color w:val="000000"/>
          <w:sz w:val="22"/>
          <w:szCs w:val="22"/>
        </w:rPr>
        <w:t>584-220-0010 Endorsement on Teaching Licenses: General Provisions</w:t>
      </w:r>
    </w:p>
    <w:p w14:paraId="0716E499" w14:textId="77777777" w:rsidR="00434DFC" w:rsidRPr="00434DFC" w:rsidRDefault="00434DFC" w:rsidP="00434DFC">
      <w:pPr>
        <w:keepNext/>
        <w:rPr>
          <w:rFonts w:asciiTheme="minorHAnsi" w:hAnsiTheme="minorHAnsi"/>
          <w:b/>
          <w:color w:val="000000"/>
          <w:sz w:val="22"/>
          <w:szCs w:val="22"/>
        </w:rPr>
      </w:pPr>
      <w:r w:rsidRPr="00434DFC">
        <w:rPr>
          <w:rFonts w:asciiTheme="minorHAnsi" w:hAnsiTheme="minorHAnsi"/>
          <w:color w:val="000000"/>
          <w:sz w:val="22"/>
          <w:szCs w:val="22"/>
        </w:rPr>
        <w:t>(1) Purpose of Teaching License Endorsements: The purpose of an endorsement on a teaching license is to indicate the subject areas (content knowledge) for which the educator is authorized to teach.  New educators must meet the requirements for content and subject-specific</w:t>
      </w:r>
      <w:r w:rsidRPr="00434DFC">
        <w:rPr>
          <w:rFonts w:asciiTheme="minorHAnsi" w:hAnsiTheme="minorHAnsi"/>
          <w:b/>
          <w:color w:val="000000"/>
          <w:sz w:val="22"/>
          <w:szCs w:val="22"/>
        </w:rPr>
        <w:t xml:space="preserve"> </w:t>
      </w:r>
      <w:r w:rsidRPr="00434DFC">
        <w:rPr>
          <w:rFonts w:asciiTheme="minorHAnsi" w:hAnsiTheme="minorHAnsi"/>
          <w:color w:val="000000"/>
          <w:sz w:val="22"/>
          <w:szCs w:val="22"/>
        </w:rPr>
        <w:t xml:space="preserve">pedagogical knowledge prior to adding an </w:t>
      </w:r>
      <w:commentRangeStart w:id="14"/>
      <w:r w:rsidRPr="00434DFC">
        <w:rPr>
          <w:rFonts w:asciiTheme="minorHAnsi" w:hAnsiTheme="minorHAnsi"/>
          <w:color w:val="000000"/>
          <w:sz w:val="22"/>
          <w:szCs w:val="22"/>
        </w:rPr>
        <w:t xml:space="preserve">endorsement to an existing Preliminary Teaching License. </w:t>
      </w:r>
      <w:r w:rsidRPr="00434DFC">
        <w:rPr>
          <w:rFonts w:asciiTheme="minorHAnsi" w:hAnsiTheme="minorHAnsi"/>
          <w:b/>
          <w:color w:val="000000"/>
          <w:sz w:val="22"/>
          <w:szCs w:val="22"/>
        </w:rPr>
        <w:t>Experienced educators must meet the Commission-established requirements for content knowledge prior to adding the endorsement to an existing Professional, Teacher Leader or Legacy Teaching Licenses.  Only Commission-adopted endorsements may be added to teaching licenses.  New endorsement may only be established through official Commission</w:t>
      </w:r>
      <w:r w:rsidRPr="00434DFC">
        <w:rPr>
          <w:rFonts w:asciiTheme="minorHAnsi" w:hAnsiTheme="minorHAnsi"/>
          <w:color w:val="000000"/>
          <w:sz w:val="22"/>
          <w:szCs w:val="22"/>
        </w:rPr>
        <w:t xml:space="preserve"> </w:t>
      </w:r>
      <w:commentRangeEnd w:id="14"/>
      <w:r w:rsidRPr="00434DFC">
        <w:rPr>
          <w:rFonts w:asciiTheme="minorHAnsi" w:eastAsiaTheme="minorHAnsi" w:hAnsiTheme="minorHAnsi" w:cstheme="minorBidi"/>
          <w:sz w:val="22"/>
          <w:szCs w:val="22"/>
        </w:rPr>
        <w:commentReference w:id="14"/>
      </w:r>
      <w:r w:rsidRPr="00434DFC">
        <w:rPr>
          <w:rFonts w:asciiTheme="minorHAnsi" w:hAnsiTheme="minorHAnsi"/>
          <w:b/>
          <w:color w:val="000000"/>
          <w:sz w:val="22"/>
          <w:szCs w:val="22"/>
        </w:rPr>
        <w:t>action at a meeting.</w:t>
      </w:r>
    </w:p>
    <w:p w14:paraId="144C682C"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(2) Endorsements may be added to the following teaching licenses:</w:t>
      </w:r>
    </w:p>
    <w:p w14:paraId="5245285D"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(a) Preliminary Teaching License;</w:t>
      </w:r>
    </w:p>
    <w:p w14:paraId="422A6375"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(b) Professional Teaching License;</w:t>
      </w:r>
    </w:p>
    <w:p w14:paraId="6F365A04"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(c) Teacher Leader License; and</w:t>
      </w:r>
    </w:p>
    <w:p w14:paraId="1328357B"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(d) Legacy Teaching License.</w:t>
      </w:r>
    </w:p>
    <w:p w14:paraId="08986410"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(3) Endorsements generally may not be added to the following teaching licenses and registrations, except as noted:</w:t>
      </w:r>
    </w:p>
    <w:p w14:paraId="59436C03"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(a) American Indian Languages Teacher (May add another American Indian Language);</w:t>
      </w:r>
    </w:p>
    <w:p w14:paraId="0A93A3C2" w14:textId="77777777" w:rsidR="00434DFC" w:rsidRPr="00434DFC" w:rsidRDefault="00434DFC" w:rsidP="00434DFC">
      <w:pPr>
        <w:rPr>
          <w:rFonts w:asciiTheme="minorHAnsi" w:hAnsiTheme="minorHAnsi"/>
          <w:b/>
          <w:bCs/>
          <w:color w:val="000000"/>
          <w:sz w:val="22"/>
          <w:szCs w:val="22"/>
        </w:rPr>
      </w:pPr>
      <w:r w:rsidRPr="00434DFC">
        <w:rPr>
          <w:rFonts w:asciiTheme="minorHAnsi" w:hAnsiTheme="minorHAnsi"/>
          <w:bCs/>
          <w:color w:val="000000"/>
          <w:sz w:val="22"/>
          <w:szCs w:val="22"/>
        </w:rPr>
        <w:t xml:space="preserve">(b)  </w:t>
      </w:r>
      <w:r w:rsidRPr="00434DFC">
        <w:rPr>
          <w:rFonts w:asciiTheme="minorHAnsi" w:hAnsiTheme="minorHAnsi"/>
          <w:b/>
          <w:bCs/>
          <w:color w:val="000000"/>
          <w:sz w:val="22"/>
          <w:szCs w:val="22"/>
        </w:rPr>
        <w:t xml:space="preserve">Charter school </w:t>
      </w:r>
      <w:commentRangeStart w:id="15"/>
      <w:r w:rsidRPr="00434DFC">
        <w:rPr>
          <w:rFonts w:asciiTheme="minorHAnsi" w:hAnsiTheme="minorHAnsi"/>
          <w:b/>
          <w:bCs/>
          <w:color w:val="000000"/>
          <w:sz w:val="22"/>
          <w:szCs w:val="22"/>
        </w:rPr>
        <w:t>teacher</w:t>
      </w:r>
      <w:commentRangeEnd w:id="15"/>
      <w:r w:rsidRPr="00434DFC">
        <w:rPr>
          <w:rFonts w:asciiTheme="minorHAnsi" w:eastAsiaTheme="minorHAnsi" w:hAnsiTheme="minorHAnsi" w:cstheme="minorBidi"/>
          <w:b/>
          <w:sz w:val="22"/>
          <w:szCs w:val="22"/>
        </w:rPr>
        <w:commentReference w:id="15"/>
      </w:r>
      <w:r w:rsidRPr="00434DFC">
        <w:rPr>
          <w:rFonts w:asciiTheme="minorHAnsi" w:hAnsiTheme="minorHAnsi"/>
          <w:b/>
          <w:bCs/>
          <w:color w:val="000000"/>
          <w:sz w:val="22"/>
          <w:szCs w:val="22"/>
        </w:rPr>
        <w:t xml:space="preserve"> registration;</w:t>
      </w:r>
    </w:p>
    <w:p w14:paraId="5CFDF5D5"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(b) Reciprocal Teaching License;</w:t>
      </w:r>
    </w:p>
    <w:p w14:paraId="15CCDA9A"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(c) Restricted Teaching License;</w:t>
      </w:r>
    </w:p>
    <w:p w14:paraId="6EEB00D6"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(d) Emergency Teaching License;</w:t>
      </w:r>
    </w:p>
    <w:p w14:paraId="488C091A"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(fe Limited Teaching License;</w:t>
      </w:r>
    </w:p>
    <w:p w14:paraId="3F4611EC"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(f) Career and Technical Education Teaching License (May add Career and Technical Education endorsements);</w:t>
      </w:r>
    </w:p>
    <w:p w14:paraId="7E2A5EA7"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(g) International Visiting Teaching License;</w:t>
      </w:r>
    </w:p>
    <w:p w14:paraId="3A7E174B"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(h) Substitute Teaching License (Already valid to teach any subject); and</w:t>
      </w:r>
    </w:p>
    <w:p w14:paraId="12505E02" w14:textId="77777777" w:rsidR="00434DFC" w:rsidRPr="00434DFC" w:rsidRDefault="00434DFC" w:rsidP="00434DFC">
      <w:pPr>
        <w:rPr>
          <w:rFonts w:asciiTheme="minorHAnsi" w:hAnsiTheme="minorHAnsi"/>
          <w:bCs/>
          <w:color w:val="000000"/>
          <w:sz w:val="22"/>
          <w:szCs w:val="22"/>
        </w:rPr>
      </w:pPr>
      <w:r w:rsidRPr="00434DFC">
        <w:rPr>
          <w:rFonts w:asciiTheme="minorHAnsi" w:hAnsiTheme="minorHAnsi"/>
          <w:bCs/>
          <w:color w:val="000000"/>
          <w:sz w:val="22"/>
          <w:szCs w:val="22"/>
        </w:rPr>
        <w:t>(i) Restricted Substitute Teaching License (Already valid to teach any subject);</w:t>
      </w:r>
    </w:p>
    <w:p w14:paraId="30332A53" w14:textId="77777777" w:rsidR="00434DFC" w:rsidRPr="00434DFC" w:rsidRDefault="00434DFC" w:rsidP="00434DFC">
      <w:pPr>
        <w:rPr>
          <w:rFonts w:asciiTheme="minorHAnsi" w:hAnsiTheme="minorHAnsi"/>
          <w:color w:val="000000"/>
          <w:sz w:val="22"/>
          <w:szCs w:val="22"/>
        </w:rPr>
      </w:pPr>
      <w:r w:rsidRPr="00434DFC">
        <w:rPr>
          <w:rFonts w:asciiTheme="minorHAnsi" w:hAnsiTheme="minorHAnsi"/>
          <w:color w:val="000000"/>
          <w:sz w:val="22"/>
          <w:szCs w:val="22"/>
        </w:rPr>
        <w:t>(4) Scope of Endorsements: The scope of the endorsement shall be determined by the National Center for Educational Statistics (NCES) course codes associated with the endorsement as provided by the TSPC Licensure Guide. A</w:t>
      </w:r>
      <w:r w:rsidRPr="00434DFC">
        <w:rPr>
          <w:rFonts w:asciiTheme="minorHAnsi" w:hAnsiTheme="minorHAnsi"/>
          <w:bCs/>
          <w:color w:val="000000"/>
          <w:sz w:val="22"/>
          <w:szCs w:val="22"/>
        </w:rPr>
        <w:t xml:space="preserve">n educator may only be assigned to teach courses within the scope of the endorsements on their license except as provided in OAR 584-210-0170, Atypical Assignments and OAR 584-210-0160, License on Conditional Assignment.  </w:t>
      </w:r>
      <w:r w:rsidRPr="00434DFC">
        <w:rPr>
          <w:rFonts w:asciiTheme="minorHAnsi" w:hAnsiTheme="minorHAnsi"/>
          <w:color w:val="000000"/>
          <w:sz w:val="22"/>
          <w:szCs w:val="22"/>
        </w:rPr>
        <w:t xml:space="preserve"> </w:t>
      </w:r>
    </w:p>
    <w:p w14:paraId="35EB8373" w14:textId="77777777" w:rsidR="00434DFC" w:rsidRPr="00434DFC" w:rsidRDefault="00434DFC" w:rsidP="00434DFC">
      <w:pPr>
        <w:rPr>
          <w:rFonts w:asciiTheme="minorHAnsi" w:hAnsiTheme="minorHAnsi"/>
          <w:color w:val="000000"/>
          <w:sz w:val="22"/>
          <w:szCs w:val="22"/>
        </w:rPr>
      </w:pPr>
      <w:r w:rsidRPr="00434DFC">
        <w:rPr>
          <w:rFonts w:asciiTheme="minorHAnsi" w:hAnsiTheme="minorHAnsi"/>
          <w:color w:val="000000"/>
          <w:sz w:val="22"/>
          <w:szCs w:val="22"/>
        </w:rPr>
        <w:t>(5) Removing an Endorsement: An educator may request to remove an endorsement from their license.  It is the responsibility of the educator to understand all employment issues related to the removal of the endorsement.  To remove an endorsement from a license, an educator must submit a correct and complete application for removal of the endorsement in the manner and form required by the Commission, including all required fees as provided in OAR 584-200-0050. Once removed, the educator must meet all current endorsement requirements in order to add back the endorsement.</w:t>
      </w:r>
    </w:p>
    <w:p w14:paraId="271EAFB1" w14:textId="77777777" w:rsidR="00434DFC" w:rsidRPr="00434DFC" w:rsidRDefault="00434DFC" w:rsidP="00434DFC">
      <w:pPr>
        <w:rPr>
          <w:rFonts w:asciiTheme="minorHAnsi" w:hAnsiTheme="minorHAnsi"/>
          <w:color w:val="000000"/>
          <w:sz w:val="22"/>
          <w:szCs w:val="22"/>
        </w:rPr>
      </w:pPr>
      <w:r w:rsidRPr="00434DFC">
        <w:rPr>
          <w:rFonts w:asciiTheme="minorHAnsi" w:hAnsiTheme="minorHAnsi"/>
          <w:color w:val="000000"/>
          <w:sz w:val="22"/>
          <w:szCs w:val="22"/>
        </w:rPr>
        <w:t>(6) The Commission approved general education endorsements for teaching licenses are:</w:t>
      </w:r>
    </w:p>
    <w:p w14:paraId="5F46D5C4" w14:textId="77777777" w:rsidR="00434DFC" w:rsidRPr="00434DFC" w:rsidRDefault="00434DFC" w:rsidP="00434DFC">
      <w:pPr>
        <w:numPr>
          <w:ilvl w:val="0"/>
          <w:numId w:val="5"/>
        </w:numPr>
        <w:spacing w:after="200" w:line="276" w:lineRule="auto"/>
        <w:contextualSpacing/>
        <w:rPr>
          <w:rFonts w:asciiTheme="minorHAnsi" w:hAnsiTheme="minorHAnsi"/>
          <w:sz w:val="22"/>
          <w:szCs w:val="22"/>
        </w:rPr>
      </w:pPr>
      <w:r w:rsidRPr="00434DFC">
        <w:rPr>
          <w:rFonts w:asciiTheme="minorHAnsi" w:hAnsiTheme="minorHAnsi"/>
          <w:sz w:val="22"/>
          <w:szCs w:val="22"/>
        </w:rPr>
        <w:t>Advanced Mathematics;</w:t>
      </w:r>
    </w:p>
    <w:p w14:paraId="3B83B072" w14:textId="77777777" w:rsidR="00434DFC" w:rsidRPr="00434DFC" w:rsidRDefault="00434DFC" w:rsidP="00434DFC">
      <w:pPr>
        <w:numPr>
          <w:ilvl w:val="0"/>
          <w:numId w:val="5"/>
        </w:numPr>
        <w:spacing w:line="276" w:lineRule="auto"/>
        <w:contextualSpacing/>
        <w:rPr>
          <w:rFonts w:asciiTheme="minorHAnsi" w:hAnsiTheme="minorHAnsi"/>
          <w:sz w:val="22"/>
          <w:szCs w:val="22"/>
        </w:rPr>
      </w:pPr>
      <w:r w:rsidRPr="00434DFC">
        <w:rPr>
          <w:rFonts w:asciiTheme="minorHAnsi" w:hAnsiTheme="minorHAnsi"/>
          <w:sz w:val="22"/>
          <w:szCs w:val="22"/>
        </w:rPr>
        <w:t>Agricultural Science;</w:t>
      </w:r>
    </w:p>
    <w:p w14:paraId="4614E300"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Art;</w:t>
      </w:r>
    </w:p>
    <w:p w14:paraId="2A554BD2"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Biology;</w:t>
      </w:r>
    </w:p>
    <w:p w14:paraId="254A8272"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Business: Generalist;</w:t>
      </w:r>
    </w:p>
    <w:p w14:paraId="367B0A02"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lastRenderedPageBreak/>
        <w:t>Business: Marketing;</w:t>
      </w:r>
    </w:p>
    <w:p w14:paraId="293BCA37"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Career Trades: Generalist (formerly Technology Education);</w:t>
      </w:r>
    </w:p>
    <w:p w14:paraId="75C97180"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Chemistry;</w:t>
      </w:r>
    </w:p>
    <w:p w14:paraId="4C142D51"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Drama;</w:t>
      </w:r>
    </w:p>
    <w:p w14:paraId="3D1B52F8"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Elementary – Multiple Subjects (formerly Multiple Subjects Self-Contained);</w:t>
      </w:r>
    </w:p>
    <w:p w14:paraId="5C4AC610"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English Language Arts;</w:t>
      </w:r>
    </w:p>
    <w:p w14:paraId="3B9D4913"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English to Speakers of Other Languages (ESOL);</w:t>
      </w:r>
    </w:p>
    <w:p w14:paraId="1C094202"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Family and Consumer Studies;</w:t>
      </w:r>
    </w:p>
    <w:p w14:paraId="2A3613FB"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Foundational English Language Arts  (formerly Middle School Language Arts);</w:t>
      </w:r>
    </w:p>
    <w:p w14:paraId="77A94212"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Foundational Mathematics (formerly Basic Math);</w:t>
      </w:r>
    </w:p>
    <w:p w14:paraId="3358AE17"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Foundational Science (formerly Middle School Science);</w:t>
      </w:r>
    </w:p>
    <w:p w14:paraId="6C1B8471"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Foundational Social Studies (formerly Middle School Social Studies);</w:t>
      </w:r>
    </w:p>
    <w:p w14:paraId="76B4C5F4"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Health;</w:t>
      </w:r>
    </w:p>
    <w:p w14:paraId="101B18DB"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Integrated Science;</w:t>
      </w:r>
    </w:p>
    <w:p w14:paraId="7A953CBB"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Legacy Art;</w:t>
      </w:r>
    </w:p>
    <w:p w14:paraId="4A47D475"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Legacy English to Speakers of Other Languages;</w:t>
      </w:r>
    </w:p>
    <w:p w14:paraId="40AE7687"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Legacy Health;</w:t>
      </w:r>
    </w:p>
    <w:p w14:paraId="0005F3B6"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Legacy World Language;</w:t>
      </w:r>
    </w:p>
    <w:p w14:paraId="7F633859"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Legacy Family and Consumer Science;</w:t>
      </w:r>
    </w:p>
    <w:p w14:paraId="1C75A71F" w14:textId="77777777" w:rsidR="00434DFC" w:rsidRPr="00434DFC" w:rsidRDefault="00434DFC" w:rsidP="00434DFC">
      <w:pPr>
        <w:numPr>
          <w:ilvl w:val="0"/>
          <w:numId w:val="5"/>
        </w:numPr>
        <w:spacing w:line="276" w:lineRule="auto"/>
        <w:rPr>
          <w:rFonts w:asciiTheme="minorHAnsi" w:hAnsiTheme="minorHAnsi"/>
          <w:b/>
          <w:sz w:val="22"/>
          <w:szCs w:val="22"/>
        </w:rPr>
      </w:pPr>
      <w:r w:rsidRPr="00434DFC">
        <w:rPr>
          <w:rFonts w:asciiTheme="minorHAnsi" w:hAnsiTheme="minorHAnsi"/>
          <w:sz w:val="22"/>
          <w:szCs w:val="22"/>
        </w:rPr>
        <w:t>Legacy Career Trades Generalist Education;</w:t>
      </w:r>
    </w:p>
    <w:p w14:paraId="68990A2E"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Legacy Library Media;</w:t>
      </w:r>
    </w:p>
    <w:p w14:paraId="52287036"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Legacy Music;</w:t>
      </w:r>
    </w:p>
    <w:p w14:paraId="746597DD"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 xml:space="preserve">Legacy Physical Education; </w:t>
      </w:r>
    </w:p>
    <w:p w14:paraId="787FE7BA"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Legacy Reading;</w:t>
      </w:r>
    </w:p>
    <w:p w14:paraId="5DE9C0E1"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Legacy Five Year Elementary;</w:t>
      </w:r>
    </w:p>
    <w:p w14:paraId="6B9970BF"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 xml:space="preserve">Legacy Five Year Secondary; </w:t>
      </w:r>
    </w:p>
    <w:p w14:paraId="788736A3"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Library Media;</w:t>
      </w:r>
    </w:p>
    <w:p w14:paraId="7647F0BD"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Music;</w:t>
      </w:r>
    </w:p>
    <w:p w14:paraId="40EB87A8"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Physical Education;</w:t>
      </w:r>
    </w:p>
    <w:p w14:paraId="26C021C2"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Physics;</w:t>
      </w:r>
    </w:p>
    <w:p w14:paraId="33DBCE44"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Reading Intervention (formerly Reading Specialist);</w:t>
      </w:r>
    </w:p>
    <w:p w14:paraId="1284E8CA"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Social Studies;</w:t>
      </w:r>
    </w:p>
    <w:p w14:paraId="0FE337F2"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Special Education: Generalist;</w:t>
      </w:r>
    </w:p>
    <w:p w14:paraId="1AE5F8FC"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Special Education: Early Intervention;</w:t>
      </w:r>
    </w:p>
    <w:p w14:paraId="038DACA0"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Special Education: Deaf and Hard of Hearing;</w:t>
      </w:r>
    </w:p>
    <w:p w14:paraId="6D2417C4"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Special Education: Visually  Impaired;</w:t>
      </w:r>
    </w:p>
    <w:p w14:paraId="1CB0A966"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Special Education: Communication Disorders;</w:t>
      </w:r>
    </w:p>
    <w:p w14:paraId="405F76CF"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 xml:space="preserve">Speech (Forensics); </w:t>
      </w:r>
    </w:p>
    <w:p w14:paraId="295DCB5A"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World Language: Chinese;</w:t>
      </w:r>
    </w:p>
    <w:p w14:paraId="0E4F019B"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World Language: French;</w:t>
      </w:r>
    </w:p>
    <w:p w14:paraId="07FD5CD9"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World Language: German;</w:t>
      </w:r>
    </w:p>
    <w:p w14:paraId="1DDF9387"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World Language: Japanese;</w:t>
      </w:r>
    </w:p>
    <w:p w14:paraId="252B5958"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World Language: Latin;</w:t>
      </w:r>
    </w:p>
    <w:p w14:paraId="0B0F3A65"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lastRenderedPageBreak/>
        <w:t>World Language: Russian; and</w:t>
      </w:r>
    </w:p>
    <w:p w14:paraId="623FFBB9" w14:textId="77777777" w:rsidR="00434DFC" w:rsidRPr="00434DFC" w:rsidRDefault="00434DFC" w:rsidP="00434DFC">
      <w:pPr>
        <w:numPr>
          <w:ilvl w:val="0"/>
          <w:numId w:val="5"/>
        </w:numPr>
        <w:spacing w:line="276" w:lineRule="auto"/>
        <w:rPr>
          <w:rFonts w:asciiTheme="minorHAnsi" w:hAnsiTheme="minorHAnsi"/>
          <w:sz w:val="22"/>
          <w:szCs w:val="22"/>
        </w:rPr>
      </w:pPr>
      <w:r w:rsidRPr="00434DFC">
        <w:rPr>
          <w:rFonts w:asciiTheme="minorHAnsi" w:hAnsiTheme="minorHAnsi"/>
          <w:sz w:val="22"/>
          <w:szCs w:val="22"/>
        </w:rPr>
        <w:t xml:space="preserve">World Language: Spanish. </w:t>
      </w:r>
    </w:p>
    <w:p w14:paraId="4BA8C98A" w14:textId="77777777" w:rsidR="00434DFC" w:rsidRPr="00434DFC" w:rsidRDefault="00434DFC" w:rsidP="00434DFC">
      <w:pPr>
        <w:rPr>
          <w:rFonts w:asciiTheme="minorHAnsi" w:eastAsiaTheme="minorHAnsi" w:hAnsiTheme="minorHAnsi" w:cstheme="minorBidi"/>
          <w:sz w:val="22"/>
          <w:szCs w:val="22"/>
        </w:rPr>
      </w:pPr>
      <w:r w:rsidRPr="00434DFC">
        <w:rPr>
          <w:rFonts w:asciiTheme="minorHAnsi" w:eastAsiaTheme="minorHAnsi" w:hAnsiTheme="minorHAnsi" w:cstheme="minorBidi"/>
          <w:sz w:val="22"/>
          <w:szCs w:val="22"/>
        </w:rPr>
        <w:t xml:space="preserve">Stat. Auth.: ORS 342 </w:t>
      </w:r>
      <w:r w:rsidRPr="00434DFC">
        <w:rPr>
          <w:rFonts w:asciiTheme="minorHAnsi" w:eastAsiaTheme="minorHAnsi" w:hAnsiTheme="minorHAnsi" w:cstheme="minorBidi"/>
          <w:sz w:val="22"/>
          <w:szCs w:val="22"/>
        </w:rPr>
        <w:br/>
        <w:t xml:space="preserve">Stats. Implemented: </w:t>
      </w:r>
      <w:r w:rsidRPr="00434DFC">
        <w:rPr>
          <w:rFonts w:asciiTheme="minorHAnsi" w:eastAsia="Calibri" w:hAnsiTheme="minorHAnsi" w:cs="Helvetica"/>
          <w:color w:val="000000"/>
          <w:sz w:val="22"/>
          <w:szCs w:val="22"/>
        </w:rPr>
        <w:t>ORS 342.120 - 342.430, 342.455 - 342.495 &amp; 342.553</w:t>
      </w:r>
      <w:r w:rsidRPr="00434DFC">
        <w:rPr>
          <w:rFonts w:asciiTheme="minorHAnsi" w:eastAsiaTheme="minorHAnsi" w:hAnsiTheme="minorHAnsi" w:cstheme="minorBidi"/>
          <w:sz w:val="22"/>
          <w:szCs w:val="22"/>
        </w:rPr>
        <w:br/>
        <w:t xml:space="preserve">Hist.: </w:t>
      </w:r>
    </w:p>
    <w:p w14:paraId="7BB4FEB1" w14:textId="77777777" w:rsidR="00434DFC" w:rsidRPr="003F0C17" w:rsidRDefault="00434DFC" w:rsidP="00434DFC">
      <w:pPr>
        <w:spacing w:line="259" w:lineRule="auto"/>
        <w:rPr>
          <w:rFonts w:ascii="Calibri" w:eastAsia="Calibri" w:hAnsi="Calibri"/>
          <w:b/>
          <w:sz w:val="22"/>
          <w:szCs w:val="22"/>
        </w:rPr>
      </w:pPr>
    </w:p>
    <w:sectPr w:rsidR="00434DFC" w:rsidRPr="003F0C17" w:rsidSect="002F65D9">
      <w:footerReference w:type="default" r:id="rId1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YKEMAN Tamara * TSPC" w:date="2016-01-20T14:00:00Z" w:initials="DT*T">
    <w:p w14:paraId="148BEF1C" w14:textId="77777777" w:rsidR="00B0206F" w:rsidRDefault="00B0206F" w:rsidP="0075156E">
      <w:pPr>
        <w:pStyle w:val="CommentText"/>
      </w:pPr>
      <w:r>
        <w:rPr>
          <w:rStyle w:val="CommentReference"/>
        </w:rPr>
        <w:annotationRef/>
      </w:r>
      <w:r>
        <w:t xml:space="preserve">One public comment received on this rule. </w:t>
      </w:r>
    </w:p>
  </w:comment>
  <w:comment w:id="2" w:author="CHAMBERLAIN Victoria * TSPC" w:date="2016-01-20T19:54:00Z" w:initials="VC">
    <w:p w14:paraId="5760BC65" w14:textId="77777777" w:rsidR="00B0206F" w:rsidRDefault="00B0206F" w:rsidP="0075156E">
      <w:pPr>
        <w:pStyle w:val="CommentText"/>
      </w:pPr>
      <w:r>
        <w:rPr>
          <w:rStyle w:val="CommentReference"/>
        </w:rPr>
        <w:annotationRef/>
      </w:r>
      <w:r>
        <w:t xml:space="preserve">Commission discussion: Proposing changing the date to July 1 for edTPA deadline to respond to public testimony. </w:t>
      </w:r>
    </w:p>
  </w:comment>
  <w:comment w:id="3" w:author="CHAMBERLAIN Victoria * TSPC" w:date="2016-01-20T20:04:00Z" w:initials="VC">
    <w:p w14:paraId="73BF98F3" w14:textId="77777777" w:rsidR="00B0206F" w:rsidRDefault="00B0206F" w:rsidP="0075156E">
      <w:pPr>
        <w:pStyle w:val="CommentText"/>
      </w:pPr>
      <w:r>
        <w:rPr>
          <w:rStyle w:val="CommentReference"/>
        </w:rPr>
        <w:annotationRef/>
      </w:r>
      <w:r>
        <w:t xml:space="preserve">Commission discussion:  Clarifying that “reinstatement” is now defined as the minute after the 120 days expires.  </w:t>
      </w:r>
    </w:p>
  </w:comment>
  <w:comment w:id="4" w:author="DYKEMAN Tamara * TSPC" w:date="2016-01-19T12:59:00Z" w:initials="DT*T">
    <w:p w14:paraId="185B9CCA" w14:textId="77777777" w:rsidR="00B0206F" w:rsidRDefault="00B0206F" w:rsidP="0075156E">
      <w:pPr>
        <w:pStyle w:val="CommentText"/>
      </w:pPr>
      <w:r>
        <w:rPr>
          <w:rStyle w:val="CommentReference"/>
        </w:rPr>
        <w:annotationRef/>
      </w:r>
      <w:r>
        <w:t xml:space="preserve">Technical issue:  International Visiting Teacher was left off previous list. </w:t>
      </w:r>
    </w:p>
  </w:comment>
  <w:comment w:id="5" w:author="DYKEMAN Tamara * TSPC" w:date="2016-01-21T08:55:00Z" w:initials="DT*T">
    <w:p w14:paraId="081AC926" w14:textId="77777777" w:rsidR="00B0206F" w:rsidRDefault="00B0206F" w:rsidP="0075156E">
      <w:pPr>
        <w:pStyle w:val="CommentText"/>
      </w:pPr>
      <w:r>
        <w:rPr>
          <w:rStyle w:val="CommentReference"/>
        </w:rPr>
        <w:annotationRef/>
      </w:r>
      <w:r>
        <w:t xml:space="preserve">Commission discussion:  Does the Commission want to require World Language endorsement to qualify for Dual Language Specialization.  Please refer to public comment on this topic. </w:t>
      </w:r>
    </w:p>
  </w:comment>
  <w:comment w:id="6" w:author="DYKEMAN Tamara * TSPC" w:date="2016-01-19T13:20:00Z" w:initials="DT*T">
    <w:p w14:paraId="781799D0" w14:textId="77777777" w:rsidR="00B0206F" w:rsidRDefault="00B0206F" w:rsidP="0075156E">
      <w:pPr>
        <w:pStyle w:val="CommentText"/>
      </w:pPr>
      <w:r>
        <w:rPr>
          <w:rStyle w:val="CommentReference"/>
        </w:rPr>
        <w:annotationRef/>
      </w:r>
      <w:r>
        <w:t xml:space="preserve">Commission discussion:  Clarifies who is eligible for International Visiting Teaching License. </w:t>
      </w:r>
    </w:p>
  </w:comment>
  <w:comment w:id="7" w:author="DYKEMAN Tamara * TSPC" w:date="2016-01-19T13:09:00Z" w:initials="DT*T">
    <w:p w14:paraId="3C74B1A1" w14:textId="77777777" w:rsidR="00B0206F" w:rsidRDefault="00B0206F" w:rsidP="0075156E">
      <w:pPr>
        <w:pStyle w:val="CommentText"/>
      </w:pPr>
      <w:r>
        <w:rPr>
          <w:rStyle w:val="CommentReference"/>
        </w:rPr>
        <w:annotationRef/>
      </w:r>
      <w:r>
        <w:t xml:space="preserve">Technical change: Language changes to make more consistent with restricted teaching license. </w:t>
      </w:r>
    </w:p>
  </w:comment>
  <w:comment w:id="8" w:author="DYKEMAN Tamara * TSPC" w:date="2016-01-19T10:24:00Z" w:initials="DT*T">
    <w:p w14:paraId="422A66BA" w14:textId="77777777" w:rsidR="00B0206F" w:rsidRDefault="00B0206F" w:rsidP="0075156E">
      <w:pPr>
        <w:pStyle w:val="CommentText"/>
      </w:pPr>
      <w:r>
        <w:rPr>
          <w:rStyle w:val="CommentReference"/>
        </w:rPr>
        <w:annotationRef/>
      </w:r>
      <w:r>
        <w:t>Technical change – to be clearer that fingerprints only are required sometimes</w:t>
      </w:r>
    </w:p>
  </w:comment>
  <w:comment w:id="9" w:author="DYKEMAN Tamara * TSPC" w:date="2016-01-20T18:15:00Z" w:initials="DT*T">
    <w:p w14:paraId="79C74B9C" w14:textId="77777777" w:rsidR="00B0206F" w:rsidRDefault="00B0206F" w:rsidP="00434DFC">
      <w:pPr>
        <w:pStyle w:val="CommentText"/>
      </w:pPr>
      <w:r>
        <w:rPr>
          <w:rStyle w:val="CommentReference"/>
        </w:rPr>
        <w:annotationRef/>
      </w:r>
      <w:r>
        <w:t xml:space="preserve">Technical change:  Provision added to reflect current policy. </w:t>
      </w:r>
    </w:p>
  </w:comment>
  <w:comment w:id="10" w:author="DYKEMAN Tamara * TSPC" w:date="2016-01-19T14:28:00Z" w:initials="DT*T">
    <w:p w14:paraId="6DAC9A67" w14:textId="77777777" w:rsidR="00B0206F" w:rsidRDefault="00B0206F" w:rsidP="00434DFC">
      <w:pPr>
        <w:pStyle w:val="CommentText"/>
      </w:pPr>
      <w:r>
        <w:rPr>
          <w:rStyle w:val="CommentReference"/>
        </w:rPr>
        <w:annotationRef/>
      </w:r>
      <w:r>
        <w:t xml:space="preserve">Technical change:  New wording to add clarity to current practice.  </w:t>
      </w:r>
    </w:p>
  </w:comment>
  <w:comment w:id="11" w:author="DYKEMAN Tamara * TSPC" w:date="2016-01-19T14:23:00Z" w:initials="DT*T">
    <w:p w14:paraId="11AC4FA4" w14:textId="77777777" w:rsidR="00B0206F" w:rsidRDefault="00B0206F" w:rsidP="00434DFC">
      <w:pPr>
        <w:pStyle w:val="CommentText"/>
      </w:pPr>
      <w:r>
        <w:rPr>
          <w:rStyle w:val="CommentReference"/>
        </w:rPr>
        <w:annotationRef/>
      </w:r>
      <w:r>
        <w:t xml:space="preserve">Commission discussion:  Can a teacher leader be reinstated if after 120 day grace period but before one year expired? </w:t>
      </w:r>
    </w:p>
  </w:comment>
  <w:comment w:id="12" w:author="DYKEMAN Tamara * TSPC" w:date="2016-01-19T14:51:00Z" w:initials="DT*T">
    <w:p w14:paraId="1A78018D" w14:textId="77777777" w:rsidR="00B0206F" w:rsidRDefault="00B0206F" w:rsidP="00434DFC">
      <w:pPr>
        <w:pStyle w:val="CommentText"/>
      </w:pPr>
      <w:r>
        <w:rPr>
          <w:rStyle w:val="CommentReference"/>
        </w:rPr>
        <w:annotationRef/>
      </w:r>
      <w:r>
        <w:t xml:space="preserve">Commission discussion:  Review of practice that if someone currently holds another license – does not have to reinstate expired license.  Only applies if currently holding a license that requires PDUs for renewal. </w:t>
      </w:r>
    </w:p>
  </w:comment>
  <w:comment w:id="13" w:author="DYKEMAN Tamara * TSPC" w:date="2016-01-19T14:40:00Z" w:initials="DT*T">
    <w:p w14:paraId="08E02FD4" w14:textId="77777777" w:rsidR="00B0206F" w:rsidRDefault="00B0206F" w:rsidP="00434DFC">
      <w:pPr>
        <w:pStyle w:val="CommentText"/>
      </w:pPr>
      <w:r>
        <w:rPr>
          <w:rStyle w:val="CommentReference"/>
        </w:rPr>
        <w:annotationRef/>
      </w:r>
      <w:r>
        <w:t xml:space="preserve">Commission discussion:  How recent to the PDUs have to be to qualify for reinstatement PDUs </w:t>
      </w:r>
    </w:p>
  </w:comment>
  <w:comment w:id="14" w:author="DYKEMAN Tamara * TSPC" w:date="2016-01-19T18:09:00Z" w:initials="DT*T">
    <w:p w14:paraId="25488B1A" w14:textId="77777777" w:rsidR="00B0206F" w:rsidRDefault="00B0206F" w:rsidP="00434DFC">
      <w:pPr>
        <w:pStyle w:val="CommentText"/>
      </w:pPr>
      <w:r>
        <w:rPr>
          <w:rStyle w:val="CommentReference"/>
        </w:rPr>
        <w:annotationRef/>
      </w:r>
      <w:r>
        <w:t>Technical changes – to add clarity</w:t>
      </w:r>
    </w:p>
  </w:comment>
  <w:comment w:id="15" w:author="DYKEMAN Tamara * TSPC" w:date="2016-01-19T18:11:00Z" w:initials="DT*T">
    <w:p w14:paraId="6B0D215C" w14:textId="77777777" w:rsidR="00B0206F" w:rsidRDefault="00B0206F" w:rsidP="00434DFC">
      <w:pPr>
        <w:pStyle w:val="CommentText"/>
      </w:pPr>
      <w:r>
        <w:rPr>
          <w:rStyle w:val="CommentReference"/>
        </w:rPr>
        <w:annotationRef/>
      </w:r>
      <w:r>
        <w:t xml:space="preserve">Commission discussion:  To allow or not to allow charter schools to add endorsements.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8BEF1C" w15:done="0"/>
  <w15:commentEx w15:paraId="5760BC65" w15:done="0"/>
  <w15:commentEx w15:paraId="73BF98F3" w15:done="0"/>
  <w15:commentEx w15:paraId="185B9CCA" w15:done="0"/>
  <w15:commentEx w15:paraId="081AC926" w15:done="0"/>
  <w15:commentEx w15:paraId="781799D0" w15:done="0"/>
  <w15:commentEx w15:paraId="3C74B1A1" w15:done="0"/>
  <w15:commentEx w15:paraId="422A66BA" w15:done="0"/>
  <w15:commentEx w15:paraId="79C74B9C" w15:done="0"/>
  <w15:commentEx w15:paraId="6DAC9A67" w15:done="0"/>
  <w15:commentEx w15:paraId="11AC4FA4" w15:done="0"/>
  <w15:commentEx w15:paraId="1A78018D" w15:done="0"/>
  <w15:commentEx w15:paraId="08E02FD4" w15:done="0"/>
  <w15:commentEx w15:paraId="25488B1A" w15:done="0"/>
  <w15:commentEx w15:paraId="6B0D21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E40FC" w14:textId="77777777" w:rsidR="0083679B" w:rsidRDefault="0083679B">
      <w:r>
        <w:separator/>
      </w:r>
    </w:p>
  </w:endnote>
  <w:endnote w:type="continuationSeparator" w:id="0">
    <w:p w14:paraId="23AF8A0B" w14:textId="77777777" w:rsidR="0083679B" w:rsidRDefault="0083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3F16A" w14:textId="77777777" w:rsidR="00B0206F" w:rsidRPr="00C569D1" w:rsidRDefault="00B0206F" w:rsidP="00E7093C">
    <w:pPr>
      <w:tabs>
        <w:tab w:val="center" w:pos="4680"/>
        <w:tab w:val="right" w:pos="9360"/>
      </w:tabs>
      <w:rPr>
        <w:rFonts w:ascii="Gill Sans MT" w:eastAsiaTheme="minorHAnsi" w:hAnsi="Gill Sans MT"/>
        <w:color w:val="7F7F7F"/>
        <w:sz w:val="16"/>
        <w:szCs w:val="16"/>
      </w:rPr>
    </w:pPr>
    <w:r w:rsidRPr="00C569D1">
      <w:rPr>
        <w:rFonts w:ascii="Gill Sans MT" w:eastAsiaTheme="minorHAnsi" w:hAnsi="Gill Sans MT"/>
        <w:color w:val="7F7F7F"/>
        <w:sz w:val="16"/>
        <w:szCs w:val="16"/>
      </w:rPr>
      <w:t>Data Classification: Level 1 – Published</w:t>
    </w:r>
  </w:p>
  <w:p w14:paraId="43A13651" w14:textId="236D6378" w:rsidR="00B0206F" w:rsidRPr="00C569D1" w:rsidRDefault="00B0206F" w:rsidP="00E7093C">
    <w:pPr>
      <w:tabs>
        <w:tab w:val="center" w:pos="4680"/>
        <w:tab w:val="right" w:pos="9360"/>
      </w:tabs>
      <w:rPr>
        <w:rFonts w:ascii="Gill Sans MT" w:eastAsiaTheme="minorHAnsi" w:hAnsi="Gill Sans MT"/>
        <w:color w:val="7F7F7F"/>
        <w:sz w:val="16"/>
        <w:szCs w:val="16"/>
      </w:rPr>
    </w:pPr>
    <w:r>
      <w:rPr>
        <w:rFonts w:ascii="Gill Sans MT" w:eastAsiaTheme="minorHAnsi" w:hAnsi="Gill Sans MT"/>
        <w:color w:val="7F7F7F"/>
        <w:sz w:val="16"/>
        <w:szCs w:val="16"/>
      </w:rPr>
      <w:t>January 2016</w:t>
    </w:r>
    <w:r w:rsidRPr="00C569D1">
      <w:rPr>
        <w:rFonts w:ascii="Gill Sans MT" w:eastAsiaTheme="minorHAnsi" w:hAnsi="Gill Sans MT"/>
        <w:color w:val="7F7F7F"/>
        <w:sz w:val="16"/>
        <w:szCs w:val="16"/>
      </w:rPr>
      <w:t>: DO: Dykeman</w:t>
    </w:r>
    <w:r w:rsidRPr="00C569D1">
      <w:rPr>
        <w:rFonts w:ascii="Gill Sans MT" w:eastAsiaTheme="minorHAnsi" w:hAnsi="Gill Sans MT"/>
        <w:color w:val="7F7F7F"/>
        <w:sz w:val="16"/>
        <w:szCs w:val="16"/>
      </w:rPr>
      <w:tab/>
    </w:r>
    <w:r w:rsidRPr="00C569D1">
      <w:rPr>
        <w:rFonts w:ascii="Gill Sans MT" w:eastAsiaTheme="minorHAnsi" w:hAnsi="Gill Sans MT"/>
        <w:color w:val="7F7F7F"/>
        <w:sz w:val="16"/>
        <w:szCs w:val="16"/>
      </w:rPr>
      <w:tab/>
    </w:r>
    <w:r>
      <w:rPr>
        <w:rFonts w:ascii="Gill Sans MT" w:eastAsiaTheme="minorHAnsi" w:hAnsi="Gill Sans MT"/>
        <w:color w:val="7F7F7F"/>
        <w:sz w:val="16"/>
        <w:szCs w:val="16"/>
      </w:rPr>
      <w:t xml:space="preserve">                     </w:t>
    </w:r>
  </w:p>
  <w:p w14:paraId="1AAD8DDB" w14:textId="035A2DC4" w:rsidR="00B0206F" w:rsidRDefault="00B0206F" w:rsidP="00E7093C">
    <w:pPr>
      <w:tabs>
        <w:tab w:val="center" w:pos="4680"/>
        <w:tab w:val="right" w:pos="9360"/>
      </w:tabs>
      <w:rPr>
        <w:rFonts w:ascii="Gill Sans MT" w:eastAsiaTheme="minorHAnsi" w:hAnsi="Gill Sans MT"/>
        <w:b/>
        <w:sz w:val="48"/>
        <w:szCs w:val="48"/>
      </w:rPr>
    </w:pPr>
    <w:r w:rsidRPr="009E7E23">
      <w:rPr>
        <w:rFonts w:eastAsiaTheme="minorHAnsi"/>
        <w:b/>
        <w:sz w:val="48"/>
        <w:szCs w:val="48"/>
      </w:rPr>
      <w:tab/>
    </w:r>
    <w:r w:rsidRPr="009E7E23">
      <w:rPr>
        <w:rFonts w:eastAsiaTheme="minorHAnsi"/>
        <w:b/>
        <w:sz w:val="48"/>
        <w:szCs w:val="48"/>
      </w:rPr>
      <w:tab/>
    </w:r>
    <w:r>
      <w:rPr>
        <w:rFonts w:ascii="Gill Sans MT" w:eastAsiaTheme="minorHAnsi" w:hAnsi="Gill Sans MT"/>
        <w:b/>
        <w:sz w:val="48"/>
        <w:szCs w:val="48"/>
      </w:rPr>
      <w:t>2.1</w:t>
    </w:r>
  </w:p>
  <w:p w14:paraId="0F27C887" w14:textId="77777777" w:rsidR="00B0206F" w:rsidRPr="000925EC" w:rsidRDefault="00B0206F" w:rsidP="00E7093C">
    <w:pPr>
      <w:tabs>
        <w:tab w:val="center" w:pos="4680"/>
        <w:tab w:val="right" w:pos="9360"/>
      </w:tabs>
      <w:rPr>
        <w:rFonts w:ascii="Gill Sans MT" w:eastAsiaTheme="minorHAnsi" w:hAnsi="Gill Sans MT"/>
        <w:b/>
      </w:rPr>
    </w:pPr>
    <w:r>
      <w:rPr>
        <w:rFonts w:ascii="Gill Sans MT" w:eastAsiaTheme="minorHAnsi" w:hAnsi="Gill Sans MT"/>
        <w:b/>
      </w:rPr>
      <w:tab/>
    </w:r>
    <w:r>
      <w:rPr>
        <w:rFonts w:ascii="Gill Sans MT" w:eastAsiaTheme="minorHAnsi" w:hAnsi="Gill Sans MT"/>
        <w:b/>
      </w:rPr>
      <w:tab/>
    </w:r>
    <w:r>
      <w:rPr>
        <w:rFonts w:ascii="Gill Sans MT" w:eastAsiaTheme="minorHAnsi" w:hAnsi="Gill Sans MT"/>
        <w:b/>
      </w:rPr>
      <w:tab/>
    </w:r>
    <w:r w:rsidRPr="000925EC">
      <w:rPr>
        <w:rFonts w:ascii="Gill Sans MT" w:eastAsiaTheme="minorHAnsi" w:hAnsi="Gill Sans MT"/>
        <w:b/>
      </w:rPr>
      <w:fldChar w:fldCharType="begin"/>
    </w:r>
    <w:r w:rsidRPr="000925EC">
      <w:rPr>
        <w:rFonts w:ascii="Gill Sans MT" w:eastAsiaTheme="minorHAnsi" w:hAnsi="Gill Sans MT"/>
        <w:b/>
      </w:rPr>
      <w:instrText xml:space="preserve"> PAGE   \* MERGEFORMAT </w:instrText>
    </w:r>
    <w:r w:rsidRPr="000925EC">
      <w:rPr>
        <w:rFonts w:ascii="Gill Sans MT" w:eastAsiaTheme="minorHAnsi" w:hAnsi="Gill Sans MT"/>
        <w:b/>
      </w:rPr>
      <w:fldChar w:fldCharType="separate"/>
    </w:r>
    <w:r w:rsidR="00D53A65">
      <w:rPr>
        <w:rFonts w:ascii="Gill Sans MT" w:eastAsiaTheme="minorHAnsi" w:hAnsi="Gill Sans MT"/>
        <w:b/>
        <w:noProof/>
      </w:rPr>
      <w:t>12</w:t>
    </w:r>
    <w:r w:rsidRPr="000925EC">
      <w:rPr>
        <w:rFonts w:ascii="Gill Sans MT" w:eastAsiaTheme="minorHAnsi" w:hAnsi="Gill Sans MT"/>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90F76" w14:textId="77777777" w:rsidR="0083679B" w:rsidRDefault="0083679B">
      <w:r>
        <w:separator/>
      </w:r>
    </w:p>
  </w:footnote>
  <w:footnote w:type="continuationSeparator" w:id="0">
    <w:p w14:paraId="1323C661" w14:textId="77777777" w:rsidR="0083679B" w:rsidRDefault="0083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15BAF"/>
    <w:multiLevelType w:val="hybridMultilevel"/>
    <w:tmpl w:val="1BD89FCA"/>
    <w:lvl w:ilvl="0" w:tplc="D0C0E4C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FA5A14"/>
    <w:multiLevelType w:val="hybridMultilevel"/>
    <w:tmpl w:val="E9CAA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34ABF"/>
    <w:multiLevelType w:val="hybridMultilevel"/>
    <w:tmpl w:val="CF5A3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3243B"/>
    <w:multiLevelType w:val="hybridMultilevel"/>
    <w:tmpl w:val="10E8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61284"/>
    <w:multiLevelType w:val="hybridMultilevel"/>
    <w:tmpl w:val="02AE2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YKEMAN Tamara * TSPC">
    <w15:presenceInfo w15:providerId="AD" w15:userId="S-1-5-21-1220945662-2146788605-839522115-38599"/>
  </w15:person>
  <w15:person w15:author="CHAMBERLAIN Victoria * TSPC">
    <w15:presenceInfo w15:providerId="None" w15:userId="CHAMBERLAIN Victoria * TS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9E"/>
    <w:rsid w:val="00022A53"/>
    <w:rsid w:val="00046B65"/>
    <w:rsid w:val="00050D8E"/>
    <w:rsid w:val="000925EC"/>
    <w:rsid w:val="000E6697"/>
    <w:rsid w:val="000F0F49"/>
    <w:rsid w:val="000F5E2F"/>
    <w:rsid w:val="00104458"/>
    <w:rsid w:val="0016625E"/>
    <w:rsid w:val="001A02C5"/>
    <w:rsid w:val="001A3123"/>
    <w:rsid w:val="001B0CD2"/>
    <w:rsid w:val="001B1BB0"/>
    <w:rsid w:val="001B6D5F"/>
    <w:rsid w:val="001C48AF"/>
    <w:rsid w:val="001D422F"/>
    <w:rsid w:val="001F1F42"/>
    <w:rsid w:val="001F3FB9"/>
    <w:rsid w:val="00207FAE"/>
    <w:rsid w:val="00257B60"/>
    <w:rsid w:val="00266BCB"/>
    <w:rsid w:val="002B16B8"/>
    <w:rsid w:val="002C1799"/>
    <w:rsid w:val="002D77C8"/>
    <w:rsid w:val="002E16BF"/>
    <w:rsid w:val="002E276B"/>
    <w:rsid w:val="002F65D9"/>
    <w:rsid w:val="00305384"/>
    <w:rsid w:val="00305A13"/>
    <w:rsid w:val="00375283"/>
    <w:rsid w:val="00383295"/>
    <w:rsid w:val="003C669C"/>
    <w:rsid w:val="003E338C"/>
    <w:rsid w:val="003F0C17"/>
    <w:rsid w:val="00410874"/>
    <w:rsid w:val="0041796F"/>
    <w:rsid w:val="00433FFE"/>
    <w:rsid w:val="00434DFC"/>
    <w:rsid w:val="00444913"/>
    <w:rsid w:val="004539AB"/>
    <w:rsid w:val="0045682F"/>
    <w:rsid w:val="004746AA"/>
    <w:rsid w:val="004827C0"/>
    <w:rsid w:val="004B39D3"/>
    <w:rsid w:val="004B64C4"/>
    <w:rsid w:val="004C0812"/>
    <w:rsid w:val="004D712D"/>
    <w:rsid w:val="004E7A8A"/>
    <w:rsid w:val="0051684B"/>
    <w:rsid w:val="0054590E"/>
    <w:rsid w:val="00570DF4"/>
    <w:rsid w:val="005D26FA"/>
    <w:rsid w:val="005D53C8"/>
    <w:rsid w:val="005E3727"/>
    <w:rsid w:val="005F3584"/>
    <w:rsid w:val="00630D4D"/>
    <w:rsid w:val="0069116A"/>
    <w:rsid w:val="006A6A3B"/>
    <w:rsid w:val="006E1991"/>
    <w:rsid w:val="007134D0"/>
    <w:rsid w:val="0075156E"/>
    <w:rsid w:val="007609AE"/>
    <w:rsid w:val="007748F2"/>
    <w:rsid w:val="007917D8"/>
    <w:rsid w:val="007B7279"/>
    <w:rsid w:val="007B7F5A"/>
    <w:rsid w:val="007D274A"/>
    <w:rsid w:val="007D3480"/>
    <w:rsid w:val="008129A1"/>
    <w:rsid w:val="0083679B"/>
    <w:rsid w:val="0085222A"/>
    <w:rsid w:val="00865088"/>
    <w:rsid w:val="00891291"/>
    <w:rsid w:val="008E6A93"/>
    <w:rsid w:val="008F71E2"/>
    <w:rsid w:val="00914F4D"/>
    <w:rsid w:val="00942E55"/>
    <w:rsid w:val="00950367"/>
    <w:rsid w:val="00991BA8"/>
    <w:rsid w:val="009B180D"/>
    <w:rsid w:val="009E7E23"/>
    <w:rsid w:val="00A27396"/>
    <w:rsid w:val="00A53726"/>
    <w:rsid w:val="00A627EE"/>
    <w:rsid w:val="00A9594D"/>
    <w:rsid w:val="00AA3CC0"/>
    <w:rsid w:val="00AA6C38"/>
    <w:rsid w:val="00AC6B99"/>
    <w:rsid w:val="00B00B90"/>
    <w:rsid w:val="00B0206F"/>
    <w:rsid w:val="00B07A62"/>
    <w:rsid w:val="00B1028E"/>
    <w:rsid w:val="00B32B87"/>
    <w:rsid w:val="00B517F2"/>
    <w:rsid w:val="00B52D74"/>
    <w:rsid w:val="00B62F28"/>
    <w:rsid w:val="00B84C9E"/>
    <w:rsid w:val="00BC1CB1"/>
    <w:rsid w:val="00BD20BA"/>
    <w:rsid w:val="00BD5767"/>
    <w:rsid w:val="00BF266C"/>
    <w:rsid w:val="00C2391D"/>
    <w:rsid w:val="00C25FE5"/>
    <w:rsid w:val="00C27879"/>
    <w:rsid w:val="00C32D7E"/>
    <w:rsid w:val="00C569D1"/>
    <w:rsid w:val="00C60EAE"/>
    <w:rsid w:val="00C906DC"/>
    <w:rsid w:val="00C96022"/>
    <w:rsid w:val="00CB737A"/>
    <w:rsid w:val="00CD50C4"/>
    <w:rsid w:val="00D07B16"/>
    <w:rsid w:val="00D27F97"/>
    <w:rsid w:val="00D53A65"/>
    <w:rsid w:val="00D53ED7"/>
    <w:rsid w:val="00D87511"/>
    <w:rsid w:val="00DA3096"/>
    <w:rsid w:val="00DC3C5A"/>
    <w:rsid w:val="00DD132A"/>
    <w:rsid w:val="00DE292B"/>
    <w:rsid w:val="00DE4755"/>
    <w:rsid w:val="00DE4BCA"/>
    <w:rsid w:val="00DF0728"/>
    <w:rsid w:val="00E4043F"/>
    <w:rsid w:val="00E63BF1"/>
    <w:rsid w:val="00E7093C"/>
    <w:rsid w:val="00E71B95"/>
    <w:rsid w:val="00EA186E"/>
    <w:rsid w:val="00ED1E69"/>
    <w:rsid w:val="00EF6954"/>
    <w:rsid w:val="00F229A6"/>
    <w:rsid w:val="00F37B1B"/>
    <w:rsid w:val="00F6627A"/>
    <w:rsid w:val="00F8003E"/>
    <w:rsid w:val="00F97732"/>
    <w:rsid w:val="00FC0891"/>
    <w:rsid w:val="00FD3910"/>
    <w:rsid w:val="00FE45F6"/>
    <w:rsid w:val="00FE4660"/>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CAB720"/>
  <w15:chartTrackingRefBased/>
  <w15:docId w15:val="{42A46531-F9C6-4DA6-B169-B7F0DC4E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C9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84C9E"/>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C9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84C9E"/>
    <w:pPr>
      <w:tabs>
        <w:tab w:val="center" w:pos="4680"/>
        <w:tab w:val="right" w:pos="9360"/>
      </w:tabs>
    </w:pPr>
  </w:style>
  <w:style w:type="character" w:customStyle="1" w:styleId="FooterChar">
    <w:name w:val="Footer Char"/>
    <w:basedOn w:val="DefaultParagraphFont"/>
    <w:link w:val="Footer"/>
    <w:uiPriority w:val="99"/>
    <w:rsid w:val="00B84C9E"/>
    <w:rPr>
      <w:rFonts w:ascii="Times New Roman" w:eastAsia="Times New Roman" w:hAnsi="Times New Roman" w:cs="Times New Roman"/>
      <w:sz w:val="20"/>
      <w:szCs w:val="20"/>
    </w:rPr>
  </w:style>
  <w:style w:type="character" w:styleId="Strong">
    <w:name w:val="Strong"/>
    <w:uiPriority w:val="22"/>
    <w:qFormat/>
    <w:rsid w:val="00B84C9E"/>
    <w:rPr>
      <w:b/>
      <w:bCs/>
    </w:rPr>
  </w:style>
  <w:style w:type="paragraph" w:styleId="NormalWeb">
    <w:name w:val="Normal (Web)"/>
    <w:basedOn w:val="Normal"/>
    <w:uiPriority w:val="99"/>
    <w:unhideWhenUsed/>
    <w:rsid w:val="00B84C9E"/>
    <w:pPr>
      <w:spacing w:before="100" w:beforeAutospacing="1" w:after="100" w:afterAutospacing="1"/>
    </w:pPr>
    <w:rPr>
      <w:sz w:val="24"/>
      <w:szCs w:val="24"/>
    </w:rPr>
  </w:style>
  <w:style w:type="character" w:customStyle="1" w:styleId="tofcheader">
    <w:name w:val="tofc_header"/>
    <w:basedOn w:val="DefaultParagraphFont"/>
    <w:rsid w:val="00B84C9E"/>
  </w:style>
  <w:style w:type="character" w:customStyle="1" w:styleId="tofcrules">
    <w:name w:val="tofc_rules"/>
    <w:basedOn w:val="DefaultParagraphFont"/>
    <w:rsid w:val="00B84C9E"/>
  </w:style>
  <w:style w:type="paragraph" w:styleId="Header">
    <w:name w:val="header"/>
    <w:basedOn w:val="Normal"/>
    <w:link w:val="HeaderChar"/>
    <w:uiPriority w:val="99"/>
    <w:unhideWhenUsed/>
    <w:rsid w:val="00B07A62"/>
    <w:pPr>
      <w:tabs>
        <w:tab w:val="center" w:pos="4680"/>
        <w:tab w:val="right" w:pos="9360"/>
      </w:tabs>
    </w:pPr>
  </w:style>
  <w:style w:type="character" w:customStyle="1" w:styleId="HeaderChar">
    <w:name w:val="Header Char"/>
    <w:basedOn w:val="DefaultParagraphFont"/>
    <w:link w:val="Header"/>
    <w:uiPriority w:val="99"/>
    <w:rsid w:val="00B07A6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0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DF4"/>
    <w:rPr>
      <w:rFonts w:ascii="Segoe UI" w:eastAsia="Times New Roman" w:hAnsi="Segoe UI" w:cs="Segoe UI"/>
      <w:sz w:val="18"/>
      <w:szCs w:val="18"/>
    </w:rPr>
  </w:style>
  <w:style w:type="character" w:styleId="Hyperlink">
    <w:name w:val="Hyperlink"/>
    <w:basedOn w:val="DefaultParagraphFont"/>
    <w:uiPriority w:val="99"/>
    <w:unhideWhenUsed/>
    <w:rsid w:val="004B64C4"/>
    <w:rPr>
      <w:color w:val="0563C1" w:themeColor="hyperlink"/>
      <w:u w:val="single"/>
    </w:rPr>
  </w:style>
  <w:style w:type="paragraph" w:styleId="ListParagraph">
    <w:name w:val="List Paragraph"/>
    <w:basedOn w:val="Normal"/>
    <w:uiPriority w:val="34"/>
    <w:qFormat/>
    <w:rsid w:val="00891291"/>
    <w:pPr>
      <w:ind w:left="720"/>
      <w:contextualSpacing/>
    </w:pPr>
  </w:style>
  <w:style w:type="character" w:styleId="CommentReference">
    <w:name w:val="annotation reference"/>
    <w:basedOn w:val="DefaultParagraphFont"/>
    <w:uiPriority w:val="99"/>
    <w:semiHidden/>
    <w:unhideWhenUsed/>
    <w:rsid w:val="004C0812"/>
    <w:rPr>
      <w:sz w:val="16"/>
      <w:szCs w:val="16"/>
    </w:rPr>
  </w:style>
  <w:style w:type="paragraph" w:styleId="CommentText">
    <w:name w:val="annotation text"/>
    <w:basedOn w:val="Normal"/>
    <w:link w:val="CommentTextChar"/>
    <w:uiPriority w:val="99"/>
    <w:semiHidden/>
    <w:unhideWhenUsed/>
    <w:rsid w:val="004C081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C0812"/>
    <w:rPr>
      <w:sz w:val="20"/>
      <w:szCs w:val="20"/>
    </w:rPr>
  </w:style>
  <w:style w:type="table" w:styleId="TableGrid">
    <w:name w:val="Table Grid"/>
    <w:basedOn w:val="TableNormal"/>
    <w:uiPriority w:val="59"/>
    <w:rsid w:val="0086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pc.state.or.us/meetings/january2016/2.1b.pdf" TargetMode="External"/><Relationship Id="rId13" Type="http://schemas.openxmlformats.org/officeDocument/2006/relationships/hyperlink" Target="http://www.tspc.state.or.us/general/news_release_091814-1/584-001-0000.ht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tspc.state.or.us/meetings/january2016/2.1a.docx" TargetMode="External"/><Relationship Id="rId12" Type="http://schemas.openxmlformats.org/officeDocument/2006/relationships/hyperlink" Target="http://www.tspc.state.or.us/meetings/january2016/2.1f.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pc.state.or.us/meetings/january2016/2.1e.docx"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www.tspc.state.or.us/meetings/january2016/2.1d.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spc.state.or.us/meetings/january2016/2.1c.pdf"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4923</Words>
  <Characters>28065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REINHARDT Heidi * TSPC</dc:creator>
  <cp:keywords/>
  <dc:description/>
  <cp:lastModifiedBy>REINHARDT Heidi * TSPC</cp:lastModifiedBy>
  <cp:revision>4</cp:revision>
  <cp:lastPrinted>2015-03-18T18:39:00Z</cp:lastPrinted>
  <dcterms:created xsi:type="dcterms:W3CDTF">2016-01-21T22:01:00Z</dcterms:created>
  <dcterms:modified xsi:type="dcterms:W3CDTF">2016-01-25T16:35:00Z</dcterms:modified>
</cp:coreProperties>
</file>